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 201</w:t>
      </w:r>
      <w:r w:rsidR="00DB6C1C">
        <w:rPr>
          <w:b/>
          <w:sz w:val="28"/>
          <w:szCs w:val="28"/>
        </w:rPr>
        <w:t>7</w:t>
      </w:r>
      <w:r w:rsidRPr="00D74AA0">
        <w:rPr>
          <w:b/>
          <w:sz w:val="28"/>
          <w:szCs w:val="28"/>
        </w:rPr>
        <w:t xml:space="preserve"> год</w:t>
      </w:r>
      <w:r w:rsidR="0007199C">
        <w:rPr>
          <w:b/>
          <w:sz w:val="28"/>
          <w:szCs w:val="28"/>
        </w:rPr>
        <w:t>у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8694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7199C">
        <w:rPr>
          <w:sz w:val="28"/>
          <w:szCs w:val="28"/>
        </w:rPr>
        <w:t>у</w:t>
      </w:r>
      <w:r>
        <w:rPr>
          <w:sz w:val="28"/>
          <w:szCs w:val="28"/>
        </w:rPr>
        <w:t xml:space="preserve"> в Управление Роскомнадзора по Центральному федеральному округу (далее - Управление) поступило </w:t>
      </w:r>
      <w:r w:rsidR="0021039D">
        <w:rPr>
          <w:b/>
          <w:sz w:val="28"/>
          <w:szCs w:val="28"/>
        </w:rPr>
        <w:t>28 890</w:t>
      </w:r>
      <w:r>
        <w:rPr>
          <w:sz w:val="28"/>
          <w:szCs w:val="28"/>
        </w:rPr>
        <w:t>обращений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7D5058">
        <w:rPr>
          <w:b/>
          <w:color w:val="000000"/>
          <w:sz w:val="28"/>
          <w:szCs w:val="28"/>
        </w:rPr>
        <w:t>21 811</w:t>
      </w:r>
      <w:r>
        <w:rPr>
          <w:sz w:val="28"/>
          <w:szCs w:val="28"/>
        </w:rPr>
        <w:t>обращений от общего количества поступили в Управление в электронном виде черезОфициальный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Роскомнадзора на рассмотрение направлено </w:t>
      </w:r>
      <w:r w:rsidR="007D5058">
        <w:rPr>
          <w:b/>
          <w:sz w:val="28"/>
          <w:szCs w:val="28"/>
        </w:rPr>
        <w:t>1 738</w:t>
      </w:r>
      <w:r>
        <w:rPr>
          <w:sz w:val="28"/>
          <w:szCs w:val="28"/>
        </w:rPr>
        <w:t>обращени</w:t>
      </w:r>
      <w:r w:rsidR="00007CA1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органов государственной власти и местного самоуправления </w:t>
      </w:r>
      <w:r w:rsidR="00CE10C2">
        <w:rPr>
          <w:b/>
          <w:sz w:val="28"/>
          <w:szCs w:val="28"/>
        </w:rPr>
        <w:t>2 491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</w:t>
      </w:r>
      <w:r w:rsidR="00251E15">
        <w:rPr>
          <w:sz w:val="28"/>
          <w:szCs w:val="28"/>
        </w:rPr>
        <w:t>раждан показывает следующее</w:t>
      </w:r>
      <w:r>
        <w:rPr>
          <w:sz w:val="28"/>
          <w:szCs w:val="28"/>
        </w:rPr>
        <w:t>:</w:t>
      </w:r>
    </w:p>
    <w:p w:rsidR="00F57E4A" w:rsidRDefault="00F57E4A" w:rsidP="00251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1A71">
        <w:rPr>
          <w:sz w:val="28"/>
          <w:szCs w:val="28"/>
        </w:rPr>
        <w:t>1</w:t>
      </w:r>
      <w:r>
        <w:rPr>
          <w:sz w:val="28"/>
          <w:szCs w:val="28"/>
        </w:rPr>
        <w:t>%  обращений касаются защиты персональных данных;</w:t>
      </w:r>
    </w:p>
    <w:p w:rsidR="00F57E4A" w:rsidRDefault="00721A71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F57E4A" w:rsidRPr="00C907B4">
        <w:rPr>
          <w:color w:val="000000" w:themeColor="text1"/>
          <w:sz w:val="28"/>
          <w:szCs w:val="28"/>
        </w:rPr>
        <w:t>%</w:t>
      </w:r>
      <w:r w:rsidR="00CB4EF7">
        <w:rPr>
          <w:sz w:val="28"/>
          <w:szCs w:val="28"/>
        </w:rPr>
        <w:t>обращений по вопросу пересылке, доставки и розыска почтовых            отправлений;</w:t>
      </w:r>
    </w:p>
    <w:p w:rsidR="00F57E4A" w:rsidRDefault="00F57E4A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CB4EF7">
        <w:rPr>
          <w:sz w:val="28"/>
          <w:szCs w:val="28"/>
        </w:rPr>
        <w:t>7</w:t>
      </w:r>
      <w:r w:rsidRPr="00C907B4">
        <w:rPr>
          <w:color w:val="000000" w:themeColor="text1"/>
          <w:sz w:val="28"/>
          <w:szCs w:val="28"/>
        </w:rPr>
        <w:t>%</w:t>
      </w:r>
      <w:r w:rsidR="00CB4EF7">
        <w:rPr>
          <w:sz w:val="28"/>
          <w:szCs w:val="28"/>
        </w:rPr>
        <w:t xml:space="preserve">обращений по вопросу качества оказания услуг связи;    </w:t>
      </w:r>
    </w:p>
    <w:p w:rsidR="005569B8" w:rsidRDefault="00F57E4A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721A71">
        <w:rPr>
          <w:sz w:val="28"/>
          <w:szCs w:val="28"/>
        </w:rPr>
        <w:t>3</w:t>
      </w:r>
      <w:r w:rsidR="005569B8">
        <w:rPr>
          <w:sz w:val="28"/>
          <w:szCs w:val="28"/>
        </w:rPr>
        <w:t>%  обращений по вопросу ограничения доступа к сайтам</w:t>
      </w:r>
      <w:r w:rsidR="005569B8" w:rsidRPr="00560A36">
        <w:rPr>
          <w:sz w:val="28"/>
          <w:szCs w:val="28"/>
        </w:rPr>
        <w:t>;</w:t>
      </w:r>
    </w:p>
    <w:p w:rsidR="005569B8" w:rsidRDefault="00721A71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7899">
        <w:rPr>
          <w:sz w:val="28"/>
          <w:szCs w:val="28"/>
        </w:rPr>
        <w:t xml:space="preserve">%  </w:t>
      </w:r>
      <w:r>
        <w:rPr>
          <w:sz w:val="28"/>
          <w:szCs w:val="28"/>
        </w:rPr>
        <w:t xml:space="preserve"> обращений содержат вопросы административного характера.</w:t>
      </w:r>
    </w:p>
    <w:p w:rsidR="00CB4EF7" w:rsidRDefault="00CB4EF7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5%  </w:t>
      </w:r>
      <w:r w:rsidR="00721A71">
        <w:rPr>
          <w:sz w:val="28"/>
          <w:szCs w:val="28"/>
        </w:rPr>
        <w:t>обращений содержат вопросы организации работы почтовых отделений и их сотрудников.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71" w:rsidRDefault="00721A71" w:rsidP="00721A71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обращений по темам</w:t>
      </w:r>
    </w:p>
    <w:p w:rsidR="00721A71" w:rsidRPr="00C6705E" w:rsidRDefault="00721A71" w:rsidP="00721A71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1A71" w:rsidRDefault="00721A71" w:rsidP="00721A71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Pr="009206F7" w:rsidRDefault="00721A71" w:rsidP="00721A71">
      <w:pPr>
        <w:jc w:val="center"/>
        <w:rPr>
          <w:b/>
          <w:sz w:val="28"/>
          <w:szCs w:val="28"/>
        </w:rPr>
      </w:pPr>
      <w:r w:rsidRPr="009206F7">
        <w:rPr>
          <w:b/>
          <w:sz w:val="28"/>
          <w:szCs w:val="28"/>
        </w:rPr>
        <w:lastRenderedPageBreak/>
        <w:t xml:space="preserve">Динамика поступивших обращений граждан поквартально </w:t>
      </w:r>
    </w:p>
    <w:p w:rsidR="00721A71" w:rsidRPr="009206F7" w:rsidRDefault="00721A71" w:rsidP="00721A71">
      <w:pPr>
        <w:jc w:val="center"/>
        <w:rPr>
          <w:b/>
          <w:sz w:val="28"/>
          <w:szCs w:val="28"/>
        </w:rPr>
      </w:pPr>
      <w:r w:rsidRPr="009206F7">
        <w:rPr>
          <w:b/>
          <w:sz w:val="28"/>
          <w:szCs w:val="28"/>
        </w:rPr>
        <w:t xml:space="preserve"> 2014-2017 год</w:t>
      </w:r>
    </w:p>
    <w:p w:rsidR="00721A71" w:rsidRPr="00563C6F" w:rsidRDefault="00721A71" w:rsidP="00721A71">
      <w:pPr>
        <w:jc w:val="center"/>
        <w:rPr>
          <w:b/>
        </w:rPr>
      </w:pPr>
    </w:p>
    <w:p w:rsidR="00721A71" w:rsidRDefault="00721A71" w:rsidP="00721A71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947410" cy="3200400"/>
            <wp:effectExtent l="19050" t="0" r="1524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1A71" w:rsidRDefault="00721A71" w:rsidP="00721A71">
      <w:pPr>
        <w:spacing w:line="276" w:lineRule="auto"/>
        <w:contextualSpacing/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имяруководителяи заместителей руководителя.</w:t>
      </w:r>
    </w:p>
    <w:p w:rsidR="00355BA3" w:rsidRPr="00B47B8B" w:rsidRDefault="00355BA3" w:rsidP="00131D1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47B8B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856D82" w:rsidRDefault="00856D82" w:rsidP="00856D82">
      <w:pPr>
        <w:tabs>
          <w:tab w:val="left" w:pos="720"/>
        </w:tabs>
        <w:jc w:val="both"/>
        <w:rPr>
          <w:color w:val="00000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56D82" w:rsidRPr="00856D82" w:rsidTr="00CC5BD6"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D82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D82"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D82">
              <w:rPr>
                <w:b/>
                <w:color w:val="000000"/>
                <w:sz w:val="28"/>
                <w:szCs w:val="28"/>
              </w:rPr>
              <w:t>2017</w:t>
            </w:r>
          </w:p>
        </w:tc>
      </w:tr>
      <w:tr w:rsidR="00856D82" w:rsidRPr="00856D82" w:rsidTr="00CC5BD6"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Поддержан</w:t>
            </w:r>
            <w:r w:rsidR="0091414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2866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1639</w:t>
            </w:r>
          </w:p>
        </w:tc>
      </w:tr>
      <w:tr w:rsidR="00856D82" w:rsidRPr="00856D82" w:rsidTr="00CC5BD6"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Не поддержан</w:t>
            </w:r>
            <w:r w:rsidR="00914144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458</w:t>
            </w:r>
          </w:p>
        </w:tc>
      </w:tr>
      <w:tr w:rsidR="00856D82" w:rsidRPr="00856D82" w:rsidTr="00CC5BD6"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21520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22298</w:t>
            </w:r>
          </w:p>
        </w:tc>
      </w:tr>
      <w:tr w:rsidR="00856D82" w:rsidRPr="00856D82" w:rsidTr="00CC5BD6"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2459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2460</w:t>
            </w:r>
          </w:p>
        </w:tc>
      </w:tr>
    </w:tbl>
    <w:p w:rsidR="00856D82" w:rsidRDefault="00856D82" w:rsidP="00856D82">
      <w:pPr>
        <w:ind w:firstLine="709"/>
        <w:jc w:val="both"/>
        <w:rPr>
          <w:color w:val="000000"/>
          <w:szCs w:val="28"/>
        </w:rPr>
      </w:pPr>
    </w:p>
    <w:p w:rsidR="00856D82" w:rsidRDefault="00856D82" w:rsidP="00856D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>противоправных действий в информационно-телекоммуникационн</w:t>
      </w:r>
      <w:r>
        <w:rPr>
          <w:sz w:val="28"/>
          <w:szCs w:val="28"/>
        </w:rPr>
        <w:t>ых сетях, включая сеть Интернет</w:t>
      </w:r>
      <w:proofErr w:type="gramStart"/>
      <w:r>
        <w:rPr>
          <w:sz w:val="28"/>
          <w:szCs w:val="28"/>
        </w:rPr>
        <w:t>;м</w:t>
      </w:r>
      <w:proofErr w:type="gramEnd"/>
      <w:r>
        <w:rPr>
          <w:sz w:val="28"/>
          <w:szCs w:val="28"/>
        </w:rPr>
        <w:t xml:space="preserve">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;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856D82" w:rsidRPr="00856D82" w:rsidRDefault="00856D82" w:rsidP="00856D8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56D82">
        <w:rPr>
          <w:sz w:val="28"/>
          <w:szCs w:val="28"/>
        </w:rPr>
        <w:t xml:space="preserve">В отчетном периоде по результатам рассмотрения 2 485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856D82" w:rsidRPr="00856D82" w:rsidRDefault="00856D82" w:rsidP="00856D8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56D82">
        <w:rPr>
          <w:sz w:val="28"/>
          <w:szCs w:val="28"/>
        </w:rPr>
        <w:t>В 2017 году заместителями руководителя и руководителем Управления был  проведен личный прием 1</w:t>
      </w:r>
      <w:r w:rsidR="00F2783B">
        <w:rPr>
          <w:sz w:val="28"/>
          <w:szCs w:val="28"/>
        </w:rPr>
        <w:t>95</w:t>
      </w:r>
      <w:r w:rsidRPr="00856D82">
        <w:rPr>
          <w:sz w:val="28"/>
          <w:szCs w:val="28"/>
        </w:rPr>
        <w:t xml:space="preserve"> граждан. О принятых решениях по </w:t>
      </w:r>
      <w:r w:rsidRPr="00856D82">
        <w:rPr>
          <w:sz w:val="28"/>
          <w:szCs w:val="28"/>
        </w:rPr>
        <w:lastRenderedPageBreak/>
        <w:t xml:space="preserve">результатам рассмотрения обращений был дан исчерпывающий ответ заявителям. </w:t>
      </w:r>
    </w:p>
    <w:p w:rsidR="00856D82" w:rsidRPr="00856D82" w:rsidRDefault="00856D82" w:rsidP="00856D8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56D82">
        <w:rPr>
          <w:sz w:val="28"/>
          <w:szCs w:val="28"/>
        </w:rPr>
        <w:t>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12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контроля.</w:t>
      </w:r>
    </w:p>
    <w:p w:rsidR="00856D82" w:rsidRPr="00856D82" w:rsidRDefault="00856D82" w:rsidP="00856D82">
      <w:pPr>
        <w:spacing w:line="276" w:lineRule="auto"/>
        <w:ind w:firstLine="567"/>
        <w:jc w:val="both"/>
        <w:rPr>
          <w:sz w:val="28"/>
          <w:szCs w:val="28"/>
        </w:rPr>
      </w:pPr>
      <w:r w:rsidRPr="00856D82">
        <w:rPr>
          <w:sz w:val="28"/>
          <w:szCs w:val="28"/>
        </w:rPr>
        <w:t>За отчетный период на портале ССТУ</w:t>
      </w:r>
      <w:proofErr w:type="gramStart"/>
      <w:r w:rsidRPr="00856D82">
        <w:rPr>
          <w:sz w:val="28"/>
          <w:szCs w:val="28"/>
        </w:rPr>
        <w:t>.Р</w:t>
      </w:r>
      <w:proofErr w:type="gramEnd"/>
      <w:r w:rsidRPr="00856D82">
        <w:rPr>
          <w:sz w:val="28"/>
          <w:szCs w:val="28"/>
        </w:rPr>
        <w:t>Ф размещены все обращения граждан, поступившие в Управление</w:t>
      </w:r>
      <w:r w:rsidR="00715EC0">
        <w:rPr>
          <w:sz w:val="28"/>
          <w:szCs w:val="28"/>
        </w:rPr>
        <w:t>,</w:t>
      </w:r>
      <w:r w:rsidRPr="00856D82">
        <w:rPr>
          <w:sz w:val="28"/>
          <w:szCs w:val="28"/>
        </w:rPr>
        <w:t xml:space="preserve"> в соответствии с Указом № 171 Президента Российской Федерации. Все обращения рассмотрены. Ответы направлены заявителям.</w:t>
      </w:r>
    </w:p>
    <w:p w:rsidR="00856D82" w:rsidRPr="00856D82" w:rsidRDefault="00856D82" w:rsidP="00856D82">
      <w:pPr>
        <w:spacing w:line="276" w:lineRule="auto"/>
        <w:ind w:firstLine="567"/>
        <w:jc w:val="both"/>
        <w:rPr>
          <w:sz w:val="28"/>
          <w:szCs w:val="28"/>
        </w:rPr>
      </w:pPr>
      <w:r w:rsidRPr="00856D82">
        <w:rPr>
          <w:sz w:val="28"/>
          <w:szCs w:val="28"/>
        </w:rPr>
        <w:t xml:space="preserve">В 2017 году руководителем Управления был проведен личный прием </w:t>
      </w:r>
      <w:r w:rsidR="00B34123">
        <w:rPr>
          <w:sz w:val="28"/>
          <w:szCs w:val="28"/>
        </w:rPr>
        <w:t>4</w:t>
      </w:r>
      <w:r w:rsidRPr="00856D82">
        <w:rPr>
          <w:sz w:val="28"/>
          <w:szCs w:val="28"/>
        </w:rPr>
        <w:t xml:space="preserve"> заявителей в Приемной Президента Российской Федерации в Московской области.</w:t>
      </w:r>
    </w:p>
    <w:p w:rsidR="00F647B0" w:rsidRDefault="00F647B0" w:rsidP="005569B8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E036F7">
        <w:rPr>
          <w:b/>
          <w:color w:val="000000"/>
        </w:rPr>
        <w:t>201</w:t>
      </w:r>
      <w:r w:rsidR="00686946">
        <w:rPr>
          <w:b/>
          <w:color w:val="000000"/>
        </w:rPr>
        <w:t>7</w:t>
      </w:r>
      <w:r w:rsidRPr="00E036F7">
        <w:rPr>
          <w:b/>
          <w:color w:val="000000"/>
        </w:rPr>
        <w:t>год</w:t>
      </w:r>
      <w:r w:rsidR="00856D82">
        <w:rPr>
          <w:b/>
          <w:color w:val="000000"/>
        </w:rPr>
        <w:t>у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F2475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28890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856D82" w:rsidP="00F2475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1543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C7753" w:rsidRDefault="005569B8" w:rsidP="004163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F247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23818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856D82" w:rsidP="003B5E3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B5E33">
              <w:rPr>
                <w:sz w:val="22"/>
                <w:szCs w:val="22"/>
                <w:lang w:val="en-US"/>
              </w:rPr>
              <w:t>23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416396">
            <w:pPr>
              <w:jc w:val="center"/>
            </w:pPr>
            <w:r>
              <w:rPr>
                <w:sz w:val="22"/>
                <w:szCs w:val="22"/>
              </w:rPr>
              <w:t>229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C91C3A">
            <w:pPr>
              <w:jc w:val="center"/>
            </w:pPr>
            <w:r>
              <w:rPr>
                <w:sz w:val="22"/>
                <w:szCs w:val="22"/>
              </w:rPr>
              <w:t>3177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856D82" w:rsidP="003B5E33">
            <w:pPr>
              <w:jc w:val="center"/>
            </w:pPr>
            <w:r>
              <w:rPr>
                <w:sz w:val="22"/>
                <w:szCs w:val="22"/>
              </w:rPr>
              <w:t>8 870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416396">
            <w:pPr>
              <w:jc w:val="center"/>
            </w:pPr>
            <w:r>
              <w:rPr>
                <w:sz w:val="22"/>
                <w:szCs w:val="22"/>
              </w:rPr>
              <w:t>2 745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856D82">
            <w:pPr>
              <w:jc w:val="center"/>
            </w:pPr>
            <w:r>
              <w:rPr>
                <w:sz w:val="22"/>
                <w:szCs w:val="22"/>
              </w:rPr>
              <w:t>13533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C91C3A">
            <w:pPr>
              <w:jc w:val="center"/>
            </w:pPr>
            <w:r>
              <w:rPr>
                <w:sz w:val="22"/>
                <w:szCs w:val="22"/>
              </w:rPr>
              <w:t>3 742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416396">
            <w:pPr>
              <w:jc w:val="center"/>
            </w:pPr>
            <w:r>
              <w:rPr>
                <w:sz w:val="22"/>
                <w:szCs w:val="22"/>
              </w:rPr>
              <w:t>4 229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856D82" w:rsidP="003B5E3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53" w:rsidRDefault="00BC0C53">
      <w:r>
        <w:separator/>
      </w:r>
    </w:p>
  </w:endnote>
  <w:endnote w:type="continuationSeparator" w:id="0">
    <w:p w:rsidR="00BC0C53" w:rsidRDefault="00BC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53" w:rsidRDefault="00BC0C53">
      <w:r>
        <w:separator/>
      </w:r>
    </w:p>
  </w:footnote>
  <w:footnote w:type="continuationSeparator" w:id="0">
    <w:p w:rsidR="00BC0C53" w:rsidRDefault="00BC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0822B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0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BC0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7899"/>
    <w:rsid w:val="00007CA1"/>
    <w:rsid w:val="000129C6"/>
    <w:rsid w:val="000310C1"/>
    <w:rsid w:val="000577F0"/>
    <w:rsid w:val="00066EEE"/>
    <w:rsid w:val="0007199C"/>
    <w:rsid w:val="000822BA"/>
    <w:rsid w:val="000830B9"/>
    <w:rsid w:val="00131D17"/>
    <w:rsid w:val="001637AF"/>
    <w:rsid w:val="00174E50"/>
    <w:rsid w:val="001A7D25"/>
    <w:rsid w:val="00205AB2"/>
    <w:rsid w:val="0021039D"/>
    <w:rsid w:val="00212812"/>
    <w:rsid w:val="0021289E"/>
    <w:rsid w:val="00242CA9"/>
    <w:rsid w:val="00251E15"/>
    <w:rsid w:val="0026639D"/>
    <w:rsid w:val="00271B3A"/>
    <w:rsid w:val="00293088"/>
    <w:rsid w:val="002D7768"/>
    <w:rsid w:val="002E43AD"/>
    <w:rsid w:val="00305D34"/>
    <w:rsid w:val="00325249"/>
    <w:rsid w:val="00332116"/>
    <w:rsid w:val="00355BA3"/>
    <w:rsid w:val="003B5103"/>
    <w:rsid w:val="003B5E33"/>
    <w:rsid w:val="00412FD2"/>
    <w:rsid w:val="00430FDC"/>
    <w:rsid w:val="00434A31"/>
    <w:rsid w:val="00463A76"/>
    <w:rsid w:val="0046424C"/>
    <w:rsid w:val="0048648A"/>
    <w:rsid w:val="00505615"/>
    <w:rsid w:val="005569B8"/>
    <w:rsid w:val="005F58AC"/>
    <w:rsid w:val="00606E4D"/>
    <w:rsid w:val="00650BD8"/>
    <w:rsid w:val="00686946"/>
    <w:rsid w:val="006C7585"/>
    <w:rsid w:val="00715EC0"/>
    <w:rsid w:val="00721A71"/>
    <w:rsid w:val="007D5058"/>
    <w:rsid w:val="00834972"/>
    <w:rsid w:val="00856D82"/>
    <w:rsid w:val="008F5548"/>
    <w:rsid w:val="008F7A1D"/>
    <w:rsid w:val="00914144"/>
    <w:rsid w:val="009206F7"/>
    <w:rsid w:val="00950676"/>
    <w:rsid w:val="00963836"/>
    <w:rsid w:val="00975457"/>
    <w:rsid w:val="009A4893"/>
    <w:rsid w:val="009C2FF3"/>
    <w:rsid w:val="009F510C"/>
    <w:rsid w:val="00A4704C"/>
    <w:rsid w:val="00AB03FA"/>
    <w:rsid w:val="00AD0286"/>
    <w:rsid w:val="00B34123"/>
    <w:rsid w:val="00B41532"/>
    <w:rsid w:val="00B47B8B"/>
    <w:rsid w:val="00B65E73"/>
    <w:rsid w:val="00BC0C53"/>
    <w:rsid w:val="00C0560C"/>
    <w:rsid w:val="00C50B22"/>
    <w:rsid w:val="00C91C3A"/>
    <w:rsid w:val="00CA2622"/>
    <w:rsid w:val="00CA2FBA"/>
    <w:rsid w:val="00CB4EF7"/>
    <w:rsid w:val="00CC1CE2"/>
    <w:rsid w:val="00CE10C2"/>
    <w:rsid w:val="00D71FF5"/>
    <w:rsid w:val="00DA0FC4"/>
    <w:rsid w:val="00DB5599"/>
    <w:rsid w:val="00DB6C1C"/>
    <w:rsid w:val="00DB7906"/>
    <w:rsid w:val="00DC02E4"/>
    <w:rsid w:val="00E401FA"/>
    <w:rsid w:val="00E66850"/>
    <w:rsid w:val="00F06A68"/>
    <w:rsid w:val="00F2475A"/>
    <w:rsid w:val="00F2783B"/>
    <w:rsid w:val="00F462FF"/>
    <w:rsid w:val="00F57E4A"/>
    <w:rsid w:val="00F6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8871</c:v>
                </c:pt>
                <c:pt idx="1">
                  <c:v>6986</c:v>
                </c:pt>
                <c:pt idx="2">
                  <c:v>4991</c:v>
                </c:pt>
                <c:pt idx="3">
                  <c:v>3722</c:v>
                </c:pt>
                <c:pt idx="4">
                  <c:v>1683</c:v>
                </c:pt>
                <c:pt idx="5">
                  <c:v>1556</c:v>
                </c:pt>
                <c:pt idx="6">
                  <c:v>1081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304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4550</c:v>
                </c:pt>
                <c:pt idx="1">
                  <c:v>3977</c:v>
                </c:pt>
                <c:pt idx="2">
                  <c:v>4757</c:v>
                </c:pt>
                <c:pt idx="3">
                  <c:v>4997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4392</c:v>
                </c:pt>
                <c:pt idx="1">
                  <c:v>4910</c:v>
                </c:pt>
                <c:pt idx="2">
                  <c:v>5118</c:v>
                </c:pt>
                <c:pt idx="3">
                  <c:v>6234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5686</c:v>
                </c:pt>
                <c:pt idx="1">
                  <c:v>6206</c:v>
                </c:pt>
                <c:pt idx="2">
                  <c:v>6748</c:v>
                </c:pt>
                <c:pt idx="3">
                  <c:v>8910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7288</c:v>
                </c:pt>
                <c:pt idx="1">
                  <c:v>7399</c:v>
                </c:pt>
                <c:pt idx="2">
                  <c:v>6696</c:v>
                </c:pt>
                <c:pt idx="3">
                  <c:v>7507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018944"/>
        <c:axId val="112020480"/>
        <c:axId val="0"/>
      </c:bar3DChart>
      <c:catAx>
        <c:axId val="112018944"/>
        <c:scaling>
          <c:orientation val="minMax"/>
        </c:scaling>
        <c:delete val="1"/>
        <c:axPos val="b"/>
        <c:majorTickMark val="cross"/>
        <c:minorTickMark val="cross"/>
        <c:tickLblPos val="none"/>
        <c:crossAx val="112020480"/>
        <c:crosses val="autoZero"/>
        <c:auto val="1"/>
        <c:lblAlgn val="ctr"/>
        <c:lblOffset val="100"/>
        <c:noMultiLvlLbl val="1"/>
      </c:catAx>
      <c:valAx>
        <c:axId val="112020480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11201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4361629684181852"/>
          <c:y val="3.9024496937882763E-2"/>
          <c:w val="0.12290089299375695"/>
          <c:h val="0.28703037120359975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Новикова Ольга Владимировна</cp:lastModifiedBy>
  <cp:revision>2</cp:revision>
  <dcterms:created xsi:type="dcterms:W3CDTF">2019-01-10T13:15:00Z</dcterms:created>
  <dcterms:modified xsi:type="dcterms:W3CDTF">2019-01-10T13:15:00Z</dcterms:modified>
</cp:coreProperties>
</file>