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C21006" w:rsidP="00C21006" w:rsidR="00C21006" w:rsidRPr="00D74AA0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Default="00C21006" w:rsidP="00C21006" w:rsidR="00C21006" w:rsidRPr="00D74AA0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1D3D11">
        <w:rPr>
          <w:b/>
          <w:sz w:val="28"/>
          <w:szCs w:val="28"/>
          <w:lang w:val="en-US"/>
        </w:rPr>
        <w:t>I</w:t>
      </w:r>
      <w:r w:rsidR="00B57AA1">
        <w:rPr>
          <w:b/>
          <w:sz w:val="28"/>
          <w:szCs w:val="28"/>
          <w:lang w:val="en-US"/>
        </w:rPr>
        <w:t>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502F5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Default="00C21006" w:rsidP="00C21006" w:rsidR="00C21006" w:rsidRPr="0082051E">
      <w:pPr>
        <w:jc w:val="center"/>
        <w:rPr>
          <w:sz w:val="28"/>
          <w:szCs w:val="28"/>
        </w:rPr>
      </w:pPr>
    </w:p>
    <w:p w:rsidRDefault="00C21006" w:rsidP="00C21006" w:rsidR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 w:rsidRPr="00B57AA1">
        <w:rPr>
          <w:sz w:val="28"/>
          <w:szCs w:val="28"/>
          <w:lang w:val="en-US"/>
        </w:rPr>
        <w:t>I</w:t>
      </w:r>
      <w:r w:rsidR="001D3D11">
        <w:rPr>
          <w:sz w:val="28"/>
          <w:szCs w:val="28"/>
          <w:lang w:val="en-US"/>
        </w:rPr>
        <w:t>I</w:t>
      </w:r>
      <w:r w:rsidR="00B57AA1" w:rsidRPr="00B57AA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F502F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C814F3" w:rsidRPr="00C814F3">
        <w:rPr>
          <w:b/>
          <w:sz w:val="28"/>
          <w:szCs w:val="28"/>
        </w:rPr>
        <w:t>4</w:t>
      </w:r>
      <w:r w:rsidR="00B57AA1">
        <w:rPr>
          <w:b/>
          <w:sz w:val="28"/>
          <w:szCs w:val="28"/>
        </w:rPr>
        <w:t xml:space="preserve"> </w:t>
      </w:r>
      <w:r w:rsidR="00C814F3" w:rsidRPr="00C814F3">
        <w:rPr>
          <w:b/>
          <w:sz w:val="28"/>
          <w:szCs w:val="28"/>
        </w:rPr>
        <w:t>75</w:t>
      </w:r>
      <w:r w:rsidR="00B57AA1">
        <w:rPr>
          <w:b/>
          <w:sz w:val="28"/>
          <w:szCs w:val="28"/>
        </w:rPr>
        <w:t>7</w:t>
      </w:r>
      <w:r w:rsidR="0070255A">
        <w:rPr>
          <w:color w:themeColor="text1"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502F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Default="00C21006" w:rsidP="00C21006" w:rsidR="00C21006" w:rsidRPr="00365E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814F3" w:rsidRPr="00C814F3">
        <w:rPr>
          <w:b/>
          <w:color w:val="000000"/>
          <w:sz w:val="28"/>
          <w:szCs w:val="28"/>
        </w:rPr>
        <w:t>3</w:t>
      </w:r>
      <w:r w:rsidR="00B57AA1" w:rsidRPr="00B57AA1">
        <w:rPr>
          <w:b/>
          <w:sz w:val="28"/>
          <w:szCs w:val="28"/>
        </w:rPr>
        <w:t xml:space="preserve"> </w:t>
      </w:r>
      <w:r w:rsidR="00C814F3" w:rsidRPr="00C814F3">
        <w:rPr>
          <w:b/>
          <w:sz w:val="28"/>
          <w:szCs w:val="28"/>
        </w:rPr>
        <w:t>289</w:t>
      </w:r>
      <w:r w:rsidR="00B57AA1" w:rsidRPr="00B57AA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Роскомнадзора.</w:t>
      </w:r>
    </w:p>
    <w:p w:rsidRDefault="00C21006" w:rsidP="00C21006" w:rsidR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>Центрального Аппарата Роскомнадзора</w:t>
      </w:r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B57AA1">
        <w:rPr>
          <w:b/>
          <w:sz w:val="28"/>
          <w:szCs w:val="28"/>
        </w:rPr>
        <w:t>2</w:t>
      </w:r>
      <w:r w:rsidR="00C814F3" w:rsidRPr="00C814F3">
        <w:rPr>
          <w:b/>
          <w:sz w:val="28"/>
          <w:szCs w:val="28"/>
        </w:rPr>
        <w:t>84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C814F3">
        <w:rPr>
          <w:sz w:val="28"/>
          <w:szCs w:val="28"/>
        </w:rPr>
        <w:t>я</w:t>
      </w:r>
      <w:r w:rsidR="00824D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4D28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</w:t>
      </w:r>
      <w:r w:rsidR="00824D28">
        <w:rPr>
          <w:sz w:val="28"/>
          <w:szCs w:val="28"/>
        </w:rPr>
        <w:t>м</w:t>
      </w:r>
      <w:r w:rsidR="00F502F5">
        <w:rPr>
          <w:sz w:val="28"/>
          <w:szCs w:val="28"/>
        </w:rPr>
        <w:t xml:space="preserve">инистерств и ведомств – </w:t>
      </w:r>
      <w:r w:rsidR="00C814F3">
        <w:rPr>
          <w:b/>
          <w:sz w:val="28"/>
          <w:szCs w:val="28"/>
        </w:rPr>
        <w:t>86</w:t>
      </w:r>
      <w:r w:rsidR="00B57AA1">
        <w:rPr>
          <w:b/>
          <w:sz w:val="28"/>
          <w:szCs w:val="28"/>
        </w:rPr>
        <w:t>6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</w:t>
      </w:r>
      <w:r w:rsidR="00B57AA1">
        <w:rPr>
          <w:sz w:val="28"/>
          <w:szCs w:val="28"/>
        </w:rPr>
        <w:t>й</w:t>
      </w:r>
      <w:r w:rsidR="00F502F5">
        <w:rPr>
          <w:color w:val="000000"/>
          <w:sz w:val="28"/>
          <w:szCs w:val="28"/>
        </w:rPr>
        <w:t>.</w:t>
      </w:r>
    </w:p>
    <w:p w:rsidRDefault="00124933" w:rsidP="00124933" w:rsidR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обращений граждан показывает, что:</w:t>
      </w:r>
    </w:p>
    <w:p w:rsidRDefault="004724AE" w:rsidP="00C814F3" w:rsidR="00C814F3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4F3">
        <w:rPr>
          <w:sz w:val="28"/>
          <w:szCs w:val="28"/>
        </w:rPr>
        <w:t xml:space="preserve">      </w:t>
      </w:r>
      <w:r w:rsidR="00086111">
        <w:rPr>
          <w:sz w:val="28"/>
          <w:szCs w:val="28"/>
        </w:rPr>
        <w:t>3</w:t>
      </w:r>
      <w:r w:rsidR="00C814F3">
        <w:rPr>
          <w:sz w:val="28"/>
          <w:szCs w:val="28"/>
        </w:rPr>
        <w:t>2</w:t>
      </w:r>
      <w:r w:rsidR="00C814F3" w:rsidRPr="00C907B4">
        <w:rPr>
          <w:color w:themeColor="text1" w:val="000000"/>
          <w:sz w:val="28"/>
          <w:szCs w:val="28"/>
        </w:rPr>
        <w:t>%</w:t>
      </w:r>
      <w:r w:rsidR="00C814F3">
        <w:rPr>
          <w:sz w:val="28"/>
          <w:szCs w:val="28"/>
        </w:rPr>
        <w:t xml:space="preserve"> – обращений касаются защиты</w:t>
      </w:r>
      <w:r w:rsidR="00824D28">
        <w:rPr>
          <w:sz w:val="28"/>
          <w:szCs w:val="28"/>
        </w:rPr>
        <w:t xml:space="preserve"> прав субъектов</w:t>
      </w:r>
      <w:r w:rsidR="00C814F3">
        <w:rPr>
          <w:sz w:val="28"/>
          <w:szCs w:val="28"/>
        </w:rPr>
        <w:t xml:space="preserve"> персональных данных;</w:t>
      </w:r>
    </w:p>
    <w:p w:rsidRDefault="004724AE" w:rsidP="00124933" w:rsidR="004724AE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111">
        <w:rPr>
          <w:sz w:val="28"/>
          <w:szCs w:val="28"/>
        </w:rPr>
        <w:t xml:space="preserve">    </w:t>
      </w:r>
      <w:r w:rsidR="00824D28">
        <w:rPr>
          <w:sz w:val="28"/>
          <w:szCs w:val="28"/>
        </w:rPr>
        <w:t xml:space="preserve"> </w:t>
      </w:r>
      <w:r w:rsidR="00086111">
        <w:rPr>
          <w:sz w:val="28"/>
          <w:szCs w:val="28"/>
        </w:rPr>
        <w:t xml:space="preserve">  </w:t>
      </w:r>
      <w:r w:rsidR="004B75DC">
        <w:rPr>
          <w:sz w:val="28"/>
          <w:szCs w:val="28"/>
        </w:rPr>
        <w:t>2</w:t>
      </w:r>
      <w:r w:rsidR="00086111">
        <w:rPr>
          <w:sz w:val="28"/>
          <w:szCs w:val="28"/>
        </w:rPr>
        <w:t>3</w:t>
      </w:r>
      <w:r>
        <w:rPr>
          <w:sz w:val="28"/>
          <w:szCs w:val="28"/>
        </w:rPr>
        <w:t xml:space="preserve">% - обращений по вопросу </w:t>
      </w:r>
      <w:r w:rsidR="00F502F5">
        <w:rPr>
          <w:sz w:val="28"/>
          <w:szCs w:val="28"/>
        </w:rPr>
        <w:t>пересылки, доставк</w:t>
      </w:r>
      <w:r w:rsidR="00824D28">
        <w:rPr>
          <w:sz w:val="28"/>
          <w:szCs w:val="28"/>
        </w:rPr>
        <w:t>и</w:t>
      </w:r>
      <w:r w:rsidR="00F502F5">
        <w:rPr>
          <w:sz w:val="28"/>
          <w:szCs w:val="28"/>
        </w:rPr>
        <w:t xml:space="preserve"> и розыск</w:t>
      </w:r>
      <w:r w:rsidR="00824D28">
        <w:rPr>
          <w:sz w:val="28"/>
          <w:szCs w:val="28"/>
        </w:rPr>
        <w:t>а</w:t>
      </w:r>
      <w:r w:rsidR="00F502F5">
        <w:rPr>
          <w:sz w:val="28"/>
          <w:szCs w:val="28"/>
        </w:rPr>
        <w:t xml:space="preserve"> почтовых отправлений</w:t>
      </w:r>
      <w:r>
        <w:rPr>
          <w:sz w:val="28"/>
          <w:szCs w:val="28"/>
        </w:rPr>
        <w:t>;</w:t>
      </w:r>
    </w:p>
    <w:p w:rsidRDefault="00124933" w:rsidP="00124933" w:rsidR="00D26D2D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B4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        </w:t>
      </w:r>
      <w:r w:rsidR="00A87D77">
        <w:rPr>
          <w:sz w:val="28"/>
          <w:szCs w:val="28"/>
        </w:rPr>
        <w:t xml:space="preserve"> </w:t>
      </w:r>
      <w:r w:rsidR="004724AE">
        <w:rPr>
          <w:sz w:val="28"/>
          <w:szCs w:val="28"/>
        </w:rPr>
        <w:t>1</w:t>
      </w:r>
      <w:r w:rsidR="004B75DC">
        <w:rPr>
          <w:sz w:val="28"/>
          <w:szCs w:val="28"/>
        </w:rPr>
        <w:t>9</w:t>
      </w:r>
      <w:r w:rsidR="00C907B4" w:rsidRPr="00C907B4">
        <w:rPr>
          <w:color w:themeColor="text1" w:val="000000"/>
          <w:sz w:val="28"/>
          <w:szCs w:val="28"/>
        </w:rPr>
        <w:t>%</w:t>
      </w:r>
      <w:r>
        <w:rPr>
          <w:sz w:val="28"/>
          <w:szCs w:val="28"/>
        </w:rPr>
        <w:t xml:space="preserve"> – обращений </w:t>
      </w:r>
      <w:r w:rsidR="00F502F5">
        <w:rPr>
          <w:sz w:val="28"/>
          <w:szCs w:val="28"/>
        </w:rPr>
        <w:t xml:space="preserve">по вопросу </w:t>
      </w:r>
      <w:r w:rsidR="00D26D2D">
        <w:rPr>
          <w:sz w:val="28"/>
          <w:szCs w:val="28"/>
        </w:rPr>
        <w:t>качества оказания услуг связи;</w:t>
      </w:r>
    </w:p>
    <w:p w:rsidRDefault="00D26D2D" w:rsidP="00124933" w:rsidR="00124933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5DC">
        <w:rPr>
          <w:sz w:val="28"/>
          <w:szCs w:val="28"/>
        </w:rPr>
        <w:t>14</w:t>
      </w:r>
      <w:r>
        <w:rPr>
          <w:sz w:val="28"/>
          <w:szCs w:val="28"/>
        </w:rPr>
        <w:t xml:space="preserve">% - обращений по вопросу </w:t>
      </w:r>
      <w:r w:rsidR="00F502F5">
        <w:rPr>
          <w:sz w:val="28"/>
          <w:szCs w:val="28"/>
        </w:rPr>
        <w:t>ограничения доступа к сайтам</w:t>
      </w:r>
      <w:r w:rsidR="00124933" w:rsidRPr="00560A36">
        <w:rPr>
          <w:sz w:val="28"/>
          <w:szCs w:val="28"/>
        </w:rPr>
        <w:t>;</w:t>
      </w:r>
    </w:p>
    <w:p w:rsidRDefault="00D26D2D" w:rsidP="00124933" w:rsidR="00D26D2D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111">
        <w:rPr>
          <w:sz w:val="28"/>
          <w:szCs w:val="28"/>
        </w:rPr>
        <w:t>9</w:t>
      </w:r>
      <w:r>
        <w:rPr>
          <w:sz w:val="28"/>
          <w:szCs w:val="28"/>
        </w:rPr>
        <w:t>% - обращений по вопросу содержания материалов, публикуемых в СМИ, в т.ч. телевизионных передач;</w:t>
      </w:r>
    </w:p>
    <w:p w:rsidRDefault="00D26D2D" w:rsidP="00124933" w:rsidR="00D26D2D">
      <w:pPr>
        <w:tabs>
          <w:tab w:pos="72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5DC">
        <w:rPr>
          <w:sz w:val="28"/>
          <w:szCs w:val="28"/>
        </w:rPr>
        <w:t>6</w:t>
      </w:r>
      <w:r>
        <w:rPr>
          <w:sz w:val="28"/>
          <w:szCs w:val="28"/>
        </w:rPr>
        <w:t>% - обращений содержат вопросы административного характера.</w:t>
      </w:r>
    </w:p>
    <w:p w:rsidRDefault="00D26D2D" w:rsidP="00124933" w:rsidR="00D26D2D" w:rsidRPr="00B47CD1">
      <w:pPr>
        <w:tabs>
          <w:tab w:pos="720" w:val="left"/>
        </w:tabs>
        <w:jc w:val="both"/>
        <w:rPr>
          <w:sz w:val="28"/>
          <w:szCs w:val="28"/>
        </w:rPr>
      </w:pPr>
    </w:p>
    <w:p w:rsidRDefault="00F502F5" w:rsidP="00F502F5" w:rsidR="00086111">
      <w:pPr>
        <w:pStyle w:val="a8"/>
        <w:shd w:fill="FFFFFF" w:color="auto" w:val="clear"/>
        <w:tabs>
          <w:tab w:pos="1134" w:val="left"/>
        </w:tabs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903C6">
        <w:rPr>
          <w:rFonts w:cs="Times New Roman" w:hAnsi="Times New Roman" w:ascii="Times New Roman"/>
          <w:b/>
          <w:sz w:val="28"/>
          <w:szCs w:val="28"/>
        </w:rPr>
        <w:t xml:space="preserve">Распределение поступивших в </w:t>
      </w:r>
      <w:r w:rsidR="00086111">
        <w:rPr>
          <w:rFonts w:cs="Times New Roman" w:hAnsi="Times New Roman" w:ascii="Times New Roman"/>
          <w:b/>
          <w:sz w:val="28"/>
          <w:szCs w:val="28"/>
        </w:rPr>
        <w:t>3</w:t>
      </w:r>
      <w:r w:rsidRPr="00E903C6">
        <w:rPr>
          <w:rFonts w:cs="Times New Roman" w:hAnsi="Times New Roman" w:ascii="Times New Roman"/>
          <w:b/>
          <w:sz w:val="28"/>
          <w:szCs w:val="28"/>
        </w:rPr>
        <w:t xml:space="preserve"> квартале 2014 года </w:t>
      </w:r>
    </w:p>
    <w:p w:rsidRDefault="00F502F5" w:rsidP="00F502F5" w:rsidR="00F502F5" w:rsidRPr="00E903C6">
      <w:pPr>
        <w:pStyle w:val="a8"/>
        <w:shd w:fill="FFFFFF" w:color="auto" w:val="clear"/>
        <w:tabs>
          <w:tab w:pos="1134" w:val="left"/>
        </w:tabs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 w:rsidRPr="00E903C6">
        <w:rPr>
          <w:rFonts w:cs="Times New Roman" w:hAnsi="Times New Roman" w:ascii="Times New Roman"/>
          <w:b/>
          <w:sz w:val="28"/>
          <w:szCs w:val="28"/>
        </w:rPr>
        <w:t>обращений по темам</w:t>
      </w:r>
    </w:p>
    <w:p w:rsidRDefault="00F502F5" w:rsidP="00F502F5" w:rsidR="00F502F5">
      <w:pPr>
        <w:keepNext/>
      </w:pPr>
      <w:r w:rsidRPr="00CB4DD4">
        <w:rPr>
          <w:noProof/>
          <w:szCs w:val="28"/>
        </w:rPr>
        <w:drawing>
          <wp:inline distR="0" distL="0" distB="0" distT="0">
            <wp:extent cy="2907030" cx="5894933"/>
            <wp:effectExtent b="7620" r="29617" t="19050" l="57150"/>
            <wp:docPr name="Диаграмма 1" id="9"/>
            <wp:cNvGraphicFramePr/>
            <a:graphic>
              <a:graphicData uri="http://schemas.openxmlformats.org/drawingml/2006/chart">
                <c:chart r:id="rId7"/>
              </a:graphicData>
            </a:graphic>
          </wp:inline>
        </w:drawing>
      </w:r>
    </w:p>
    <w:p w:rsidRDefault="00F502F5" w:rsidP="00F502F5" w:rsidR="00F502F5">
      <w:pPr>
        <w:jc w:val="center"/>
        <w:rPr>
          <w:b/>
        </w:rPr>
      </w:pPr>
    </w:p>
    <w:p w:rsidRDefault="00824D28" w:rsidP="00824D28" w:rsidR="00824D28">
      <w:pPr>
        <w:tabs>
          <w:tab w:pos="720" w:val="left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Default="00824D28" w:rsidP="00824D28" w:rsidR="00824D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Default="00B300D7" w:rsidP="00F502F5" w:rsidR="00B300D7">
      <w:pPr>
        <w:jc w:val="center"/>
        <w:rPr>
          <w:b/>
          <w:sz w:val="28"/>
          <w:szCs w:val="28"/>
        </w:rPr>
      </w:pPr>
    </w:p>
    <w:p w:rsidRDefault="00F502F5" w:rsidP="00F502F5" w:rsidR="00A87D77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Default="00F502F5" w:rsidP="00F502F5" w:rsidR="00F502F5" w:rsidRPr="00B300D7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за </w:t>
      </w:r>
      <w:r w:rsidR="00A87D77">
        <w:rPr>
          <w:b/>
          <w:sz w:val="28"/>
          <w:szCs w:val="28"/>
        </w:rPr>
        <w:t>3</w:t>
      </w:r>
      <w:r w:rsidRPr="00B300D7">
        <w:rPr>
          <w:b/>
          <w:sz w:val="28"/>
          <w:szCs w:val="28"/>
        </w:rPr>
        <w:t xml:space="preserve"> квартал 2012-2014 годов</w:t>
      </w:r>
    </w:p>
    <w:p w:rsidRDefault="00F502F5" w:rsidP="00F502F5" w:rsidR="00F502F5" w:rsidRPr="00563C6F">
      <w:pPr>
        <w:jc w:val="center"/>
        <w:rPr>
          <w:b/>
        </w:rPr>
      </w:pPr>
    </w:p>
    <w:p w:rsidRDefault="00F502F5" w:rsidP="00F502F5" w:rsidR="00F502F5">
      <w:pPr>
        <w:pStyle w:val="a8"/>
        <w:spacing w:lineRule="auto" w:line="276"/>
        <w:ind w:firstLine="0"/>
        <w:jc w:val="center"/>
        <w:rPr>
          <w:rFonts w:cs="Times New Roman" w:eastAsia="Times New Roman" w:hAnsi="Times New Roman" w:ascii="Times New Roman"/>
          <w:b/>
          <w:bCs/>
          <w:iCs/>
          <w:sz w:val="24"/>
          <w:szCs w:val="24"/>
        </w:rPr>
      </w:pPr>
      <w:r>
        <w:rPr>
          <w:rFonts w:cs="Times New Roman" w:eastAsia="Times New Roman" w:hAnsi="Times New Roman" w:ascii="Times New Roman"/>
          <w:b/>
          <w:bCs/>
          <w:iCs/>
          <w:noProof/>
          <w:sz w:val="24"/>
          <w:szCs w:val="24"/>
        </w:rPr>
        <w:drawing>
          <wp:inline distR="0" distL="0" distB="0" distT="0">
            <wp:extent cy="3200400" cx="5486400"/>
            <wp:effectExtent b="0" r="19050" t="0" l="19050"/>
            <wp:docPr name="Диаграмма 1" id="1"/>
            <wp:cNvGraphicFramePr/>
            <a:graphic>
              <a:graphicData uri="http://schemas.openxmlformats.org/drawingml/2006/chart">
                <c:chart r:id="rId8"/>
              </a:graphicData>
            </a:graphic>
          </wp:inline>
        </w:drawing>
      </w:r>
    </w:p>
    <w:p w:rsidRDefault="00323058" w:rsidP="00C21006" w:rsidR="00323058">
      <w:pPr>
        <w:ind w:firstLine="709"/>
        <w:jc w:val="both"/>
        <w:rPr>
          <w:color w:val="000000"/>
          <w:sz w:val="28"/>
          <w:szCs w:val="28"/>
        </w:rPr>
      </w:pPr>
    </w:p>
    <w:p w:rsidRDefault="00C21006" w:rsidP="00C21006" w:rsidR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647FA4">
        <w:rPr>
          <w:color w:val="000000"/>
          <w:sz w:val="28"/>
          <w:szCs w:val="28"/>
        </w:rPr>
        <w:t xml:space="preserve">в отчетном периоде </w:t>
      </w:r>
      <w:r w:rsidR="00CE1E07" w:rsidRPr="00CE1E07">
        <w:rPr>
          <w:b/>
          <w:color w:val="000000"/>
          <w:sz w:val="28"/>
          <w:szCs w:val="28"/>
        </w:rPr>
        <w:t>4 153</w:t>
      </w:r>
      <w:r w:rsidR="00647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обращений граждан </w:t>
      </w:r>
      <w:r w:rsidR="006D030B">
        <w:rPr>
          <w:color w:val="000000"/>
          <w:sz w:val="28"/>
          <w:szCs w:val="28"/>
        </w:rPr>
        <w:t>вынесены решения</w:t>
      </w:r>
      <w:r>
        <w:rPr>
          <w:color w:val="000000"/>
          <w:sz w:val="28"/>
          <w:szCs w:val="28"/>
        </w:rPr>
        <w:t>:</w:t>
      </w:r>
    </w:p>
    <w:p w:rsidRDefault="00C21006" w:rsidP="00C21006" w:rsidR="00C21006" w:rsidRPr="00CC2A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862052">
        <w:rPr>
          <w:b/>
          <w:color w:val="000000"/>
          <w:sz w:val="28"/>
          <w:szCs w:val="28"/>
        </w:rPr>
        <w:t>550</w:t>
      </w:r>
      <w:r w:rsidRPr="00CC2A2D">
        <w:rPr>
          <w:color w:val="000000"/>
          <w:sz w:val="28"/>
          <w:szCs w:val="28"/>
        </w:rPr>
        <w:t>;</w:t>
      </w:r>
    </w:p>
    <w:p w:rsidRDefault="00C21006" w:rsidP="00C21006" w:rsidR="00C21006" w:rsidRPr="00866173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62052">
        <w:rPr>
          <w:b/>
          <w:color w:themeColor="text1" w:val="000000"/>
          <w:sz w:val="28"/>
          <w:szCs w:val="28"/>
        </w:rPr>
        <w:t>3 263</w:t>
      </w:r>
      <w:r>
        <w:rPr>
          <w:color w:val="000000"/>
          <w:sz w:val="28"/>
          <w:szCs w:val="28"/>
        </w:rPr>
        <w:t>;</w:t>
      </w:r>
    </w:p>
    <w:p w:rsidRDefault="00C21006" w:rsidP="00C21006" w:rsidR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862052" w:rsidRPr="00862052">
        <w:rPr>
          <w:b/>
          <w:color w:val="000000"/>
          <w:sz w:val="28"/>
          <w:szCs w:val="28"/>
        </w:rPr>
        <w:t>310</w:t>
      </w:r>
      <w:r>
        <w:rPr>
          <w:color w:val="000000"/>
          <w:sz w:val="28"/>
          <w:szCs w:val="28"/>
        </w:rPr>
        <w:t>;</w:t>
      </w:r>
    </w:p>
    <w:p w:rsidRDefault="00C21006" w:rsidP="00C21006" w:rsidR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647FA4" w:rsidRPr="00862052">
        <w:rPr>
          <w:b/>
          <w:color w:val="000000"/>
          <w:sz w:val="28"/>
          <w:szCs w:val="28"/>
        </w:rPr>
        <w:t>1</w:t>
      </w:r>
      <w:r w:rsidR="00862052" w:rsidRPr="00862052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Default="00C21006" w:rsidP="00C21006" w:rsidR="00C21006" w:rsidRPr="00DA382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отношении  рекламы в СМИ), другие федеральные </w:t>
      </w:r>
      <w:r w:rsidR="00824D28">
        <w:rPr>
          <w:color w:val="000000"/>
          <w:sz w:val="28"/>
          <w:szCs w:val="28"/>
        </w:rPr>
        <w:t xml:space="preserve">и региональные </w:t>
      </w:r>
      <w:r>
        <w:rPr>
          <w:color w:val="000000"/>
          <w:sz w:val="28"/>
          <w:szCs w:val="28"/>
        </w:rPr>
        <w:t>органы исполнительной власти.</w:t>
      </w:r>
    </w:p>
    <w:p w:rsidRDefault="00575375" w:rsidP="00BB425C" w:rsidR="00BB425C" w:rsidRPr="00BB425C">
      <w:pPr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п</w:t>
      </w:r>
      <w:r w:rsidR="00BB425C" w:rsidRPr="00BB425C">
        <w:rPr>
          <w:sz w:val="28"/>
          <w:szCs w:val="28"/>
        </w:rPr>
        <w:t xml:space="preserve">о обращениям граждан были проведены </w:t>
      </w:r>
      <w:r w:rsidR="00862052">
        <w:rPr>
          <w:sz w:val="28"/>
          <w:szCs w:val="28"/>
        </w:rPr>
        <w:t>96</w:t>
      </w:r>
      <w:r w:rsidR="00BB425C" w:rsidRPr="00BB425C">
        <w:rPr>
          <w:sz w:val="28"/>
          <w:szCs w:val="28"/>
        </w:rPr>
        <w:t xml:space="preserve"> внеплановых мероприятий. </w:t>
      </w:r>
    </w:p>
    <w:p w:rsidRDefault="00575375" w:rsidP="00575375" w:rsidR="00575375" w:rsidRPr="00575375">
      <w:pPr>
        <w:spacing w:lineRule="auto" w:line="276"/>
        <w:ind w:firstLine="567"/>
        <w:jc w:val="both"/>
        <w:rPr>
          <w:sz w:val="28"/>
          <w:szCs w:val="28"/>
        </w:rPr>
      </w:pPr>
      <w:r w:rsidRPr="00575375">
        <w:rPr>
          <w:sz w:val="28"/>
          <w:szCs w:val="28"/>
        </w:rPr>
        <w:t>В отчетном периоде</w:t>
      </w:r>
      <w:r w:rsidR="00824D28">
        <w:rPr>
          <w:sz w:val="28"/>
          <w:szCs w:val="28"/>
        </w:rPr>
        <w:t xml:space="preserve">, </w:t>
      </w:r>
      <w:r w:rsidRPr="00575375">
        <w:rPr>
          <w:sz w:val="28"/>
          <w:szCs w:val="28"/>
        </w:rPr>
        <w:t>30 сентября 2014 года</w:t>
      </w:r>
      <w:r w:rsidR="00824D28">
        <w:rPr>
          <w:sz w:val="28"/>
          <w:szCs w:val="28"/>
        </w:rPr>
        <w:t>,</w:t>
      </w:r>
      <w:r w:rsidRPr="00575375">
        <w:rPr>
          <w:sz w:val="28"/>
          <w:szCs w:val="28"/>
        </w:rPr>
        <w:t xml:space="preserve"> в целях реализации поручения Президента Российской Федерации от 26 апреля 2013 года №Пр-936 о ежегодном проведении в День Конституции Российской Федерации общероссийского дня приема граждан в рамках подготовки к проведению 1</w:t>
      </w:r>
      <w:r w:rsidR="002D2AAF">
        <w:rPr>
          <w:sz w:val="28"/>
          <w:szCs w:val="28"/>
        </w:rPr>
        <w:t>2</w:t>
      </w:r>
      <w:r w:rsidRPr="00575375">
        <w:rPr>
          <w:sz w:val="28"/>
          <w:szCs w:val="28"/>
        </w:rPr>
        <w:t xml:space="preserve"> декабря 2014 года второго общероссийского дня приема граждан Спецсвязью ФСО России было проведено испытание функционирования специального программного обеспечения по проведению личного приема и приема в режиме видеоконференц-связи, видеосвязи, аудиосвязи и иных видов связи на технических средствах центра обработки данных Спецсвязи ФСО России.</w:t>
      </w:r>
    </w:p>
    <w:p w:rsidRDefault="00575375" w:rsidP="00575375" w:rsidR="00575375" w:rsidRPr="00575375">
      <w:pPr>
        <w:spacing w:lineRule="auto" w:line="276"/>
        <w:ind w:firstLine="567"/>
        <w:jc w:val="both"/>
        <w:rPr>
          <w:sz w:val="28"/>
          <w:szCs w:val="28"/>
        </w:rPr>
      </w:pPr>
      <w:r w:rsidRPr="00575375">
        <w:rPr>
          <w:sz w:val="28"/>
          <w:szCs w:val="28"/>
        </w:rPr>
        <w:t xml:space="preserve"> </w:t>
      </w:r>
      <w:r w:rsidR="002D2AAF">
        <w:rPr>
          <w:sz w:val="28"/>
          <w:szCs w:val="28"/>
        </w:rPr>
        <w:t>З</w:t>
      </w:r>
      <w:r w:rsidRPr="00575375">
        <w:rPr>
          <w:sz w:val="28"/>
          <w:szCs w:val="28"/>
        </w:rPr>
        <w:t xml:space="preserve">а период </w:t>
      </w:r>
      <w:r w:rsidR="002D2AAF">
        <w:rPr>
          <w:sz w:val="28"/>
          <w:szCs w:val="28"/>
        </w:rPr>
        <w:t xml:space="preserve">9 месяцев </w:t>
      </w:r>
      <w:r w:rsidRPr="00575375">
        <w:rPr>
          <w:sz w:val="28"/>
          <w:szCs w:val="28"/>
        </w:rPr>
        <w:t xml:space="preserve">на портал ССТУ.РФ поступило 34 обращения граждан, на рассмотрении находятся 3 обращения. </w:t>
      </w:r>
    </w:p>
    <w:p w:rsidRDefault="00575375" w:rsidP="00575375" w:rsidR="00575375">
      <w:pPr>
        <w:ind w:firstLine="567"/>
        <w:jc w:val="both"/>
        <w:rPr>
          <w:szCs w:val="28"/>
        </w:rPr>
      </w:pPr>
      <w:r w:rsidRPr="00575375">
        <w:rPr>
          <w:sz w:val="28"/>
          <w:szCs w:val="28"/>
        </w:rPr>
        <w:t>Заместителями руководителя Управления был  проведен личный прием 4 граждан по письменным обращениям. О принятых решениях по результатам рассмотрения обращений был дан исчерпывающий ответ заявителям.</w:t>
      </w:r>
      <w:r>
        <w:rPr>
          <w:szCs w:val="28"/>
        </w:rPr>
        <w:t xml:space="preserve"> </w:t>
      </w:r>
    </w:p>
    <w:p w:rsidRDefault="003E5A09" w:rsidP="003E5A09" w:rsidR="003E5A09" w:rsidRPr="003E5A09">
      <w:pPr>
        <w:ind w:firstLine="567"/>
        <w:jc w:val="both"/>
        <w:rPr>
          <w:color w:val="000000"/>
          <w:sz w:val="28"/>
          <w:szCs w:val="28"/>
        </w:rPr>
      </w:pPr>
    </w:p>
    <w:p w:rsidRDefault="00C21006" w:rsidP="006D030B" w:rsidR="00C21006">
      <w:pPr>
        <w:ind w:firstLine="709" w:left="900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Default="006C7753" w:rsidP="006D030B" w:rsidR="006C7753" w:rsidRPr="00E036F7">
      <w:pPr>
        <w:ind w:firstLine="709" w:left="900"/>
        <w:jc w:val="center"/>
        <w:rPr>
          <w:b/>
          <w:color w:val="000000"/>
          <w:sz w:val="28"/>
          <w:szCs w:val="28"/>
        </w:rPr>
      </w:pPr>
    </w:p>
    <w:p w:rsidRDefault="00C21006" w:rsidP="006D030B" w:rsidR="006C7753">
      <w:pPr>
        <w:ind w:firstLine="709" w:left="900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Default="00C21006" w:rsidP="006D030B" w:rsidR="00C21006">
      <w:pPr>
        <w:ind w:firstLine="709" w:left="900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2D2AAF">
        <w:rPr>
          <w:b/>
          <w:color w:val="000000"/>
        </w:rPr>
        <w:t>3</w:t>
      </w:r>
      <w:r w:rsidRPr="00E036F7">
        <w:rPr>
          <w:b/>
          <w:color w:val="000000"/>
        </w:rPr>
        <w:t xml:space="preserve"> квартале 201</w:t>
      </w:r>
      <w:r w:rsidR="00972584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tbl>
      <w:tblPr>
        <w:tblW w:type="dxa" w:w="9140"/>
        <w:tblInd w:type="dxa" w:w="93"/>
        <w:tblLook w:val="04A0"/>
      </w:tblPr>
      <w:tblGrid>
        <w:gridCol w:w="960"/>
        <w:gridCol w:w="7000"/>
        <w:gridCol w:w="1180"/>
      </w:tblGrid>
      <w:tr w:rsidTr="00F91344" w:rsidR="007E0ADB" w:rsidRPr="008F68DD">
        <w:trPr>
          <w:trHeight w:val="300"/>
        </w:trPr>
        <w:tc>
          <w:tcPr>
            <w:tcW w:type="dxa" w:w="9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type="dxa" w:w="70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themeColor="text1" w:val="000000"/>
                <w:sz w:val="22"/>
                <w:szCs w:val="22"/>
              </w:rPr>
            </w:pPr>
            <w:r w:rsidRPr="008F68DD">
              <w:rPr>
                <w:b/>
                <w:bCs/>
                <w:color w:themeColor="text1"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type="dxa" w:w="118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2D2AAF" w:rsidP="000B7547" w:rsidR="007E0ADB" w:rsidRPr="00B641B4">
            <w:pPr>
              <w:jc w:val="center"/>
              <w:rPr>
                <w:b/>
                <w:bCs/>
                <w:color w:themeColor="text1" w:val="000000"/>
                <w:sz w:val="22"/>
                <w:szCs w:val="22"/>
              </w:rPr>
            </w:pPr>
            <w:r>
              <w:rPr>
                <w:b/>
                <w:bCs/>
                <w:color w:themeColor="text1" w:val="000000"/>
                <w:sz w:val="22"/>
                <w:szCs w:val="22"/>
              </w:rPr>
              <w:t>4 757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6C7753" w:rsidP="002D2AAF" w:rsidR="007E0ADB" w:rsidRPr="00E958E8">
            <w:pPr>
              <w:jc w:val="center"/>
              <w:rPr>
                <w:color w:themeColor="text1" w:val="000000"/>
                <w:sz w:val="22"/>
                <w:szCs w:val="22"/>
                <w:lang w:val="en-US"/>
              </w:rPr>
            </w:pPr>
            <w:r>
              <w:rPr>
                <w:color w:themeColor="text1" w:val="000000"/>
                <w:sz w:val="22"/>
                <w:szCs w:val="22"/>
              </w:rPr>
              <w:t>2</w:t>
            </w:r>
            <w:r w:rsidR="002D2AAF">
              <w:rPr>
                <w:color w:themeColor="text1" w:val="000000"/>
                <w:sz w:val="22"/>
                <w:szCs w:val="22"/>
              </w:rPr>
              <w:t>59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824D28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ПГУ 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72584" w:rsidP="0070255A" w:rsidR="007E0ADB" w:rsidRPr="006C7753">
            <w:pPr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0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824D28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Роскомнадзора 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2D2AAF" w:rsidP="003E5A09" w:rsidR="007E0ADB" w:rsidRPr="00E958E8">
            <w:pPr>
              <w:jc w:val="center"/>
              <w:rPr>
                <w:color w:themeColor="text1" w:val="000000"/>
                <w:sz w:val="22"/>
                <w:szCs w:val="22"/>
                <w:lang w:val="en-US"/>
              </w:rPr>
            </w:pPr>
            <w:r>
              <w:rPr>
                <w:color w:themeColor="text1" w:val="000000"/>
                <w:sz w:val="22"/>
                <w:szCs w:val="22"/>
              </w:rPr>
              <w:t>3 289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0B7547" w:rsidP="007E0ADB" w:rsidR="007E0ADB" w:rsidRPr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B641B4" w:rsidR="007E0ADB" w:rsidRPr="006C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972584" w:rsidR="007E0ADB" w:rsidRPr="00E958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0255A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7E0ADB" w:rsidR="007E0ADB" w:rsidRPr="006C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1 510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972FAF" w:rsidR="007E0ADB" w:rsidRPr="00E958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Tr="00F91344" w:rsidR="007E0ADB" w:rsidRPr="008F68DD">
        <w:trPr>
          <w:trHeight w:val="6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0B7547" w:rsidR="007E0ADB" w:rsidRPr="009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</w:t>
            </w:r>
          </w:p>
        </w:tc>
      </w:tr>
      <w:tr w:rsidTr="00F91344" w:rsidR="007E0ADB" w:rsidRPr="008F68DD">
        <w:trPr>
          <w:trHeight w:val="6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:rsidRDefault="007E0ADB" w:rsidP="007E0ADB" w:rsidR="007E0ADB" w:rsidRPr="008F68DD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9B76EA" w:rsidP="007E0ADB" w:rsidR="007E0ADB" w:rsidRPr="009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EF7855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824D28" w:rsidP="007E0ADB" w:rsidR="007E0ADB" w:rsidRPr="0082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824D28">
              <w:rPr>
                <w:b/>
                <w:sz w:val="22"/>
                <w:szCs w:val="22"/>
              </w:rPr>
              <w:t>246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6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D33D1A" w:rsidP="007E0ADB" w:rsidR="007E0ADB" w:rsidRPr="009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EF7855" w:rsidP="007E0ADB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824D28" w:rsidP="007E0ADB" w:rsidR="007E0ADB" w:rsidRPr="00B641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EF7855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EF7855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D33D1A" w:rsidP="0070255A" w:rsidR="007E0ADB" w:rsidRPr="00E958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6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EF7855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824D28" w:rsidP="007E0ADB" w:rsidR="007E0ADB" w:rsidRPr="00824D28">
            <w:pPr>
              <w:jc w:val="center"/>
              <w:rPr>
                <w:b/>
                <w:sz w:val="22"/>
                <w:szCs w:val="22"/>
              </w:rPr>
            </w:pPr>
            <w:r w:rsidRPr="00824D28">
              <w:rPr>
                <w:b/>
                <w:sz w:val="22"/>
                <w:szCs w:val="22"/>
              </w:rPr>
              <w:t>2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EF7855" w:rsidP="007E0ADB" w:rsidR="007E0ADB" w:rsidRPr="008F6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0255A" w:rsidP="007E0ADB" w:rsidR="007E0ADB" w:rsidRPr="00452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7E0ADB" w:rsidP="007E0ADB" w:rsidR="007E0ADB" w:rsidRPr="008F68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Tr="00F91344" w:rsidR="007E0ADB" w:rsidRPr="008F68DD">
        <w:trPr>
          <w:trHeight w:val="300"/>
        </w:trPr>
        <w:tc>
          <w:tcPr>
            <w:tcW w:type="dxa" w:w="9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EF7855" w:rsidP="007E0ADB" w:rsidR="007E0ADB" w:rsidRPr="008F6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type="dxa" w:w="70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  <w:hideMark/>
          </w:tcPr>
          <w:p w:rsidRDefault="007E0ADB" w:rsidP="007E0ADB" w:rsidR="007E0ADB" w:rsidRPr="008F68DD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type="dxa" w:w="118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noWrap/>
            <w:vAlign w:val="bottom"/>
          </w:tcPr>
          <w:p w:rsidRDefault="00452F65" w:rsidP="007E0ADB" w:rsidR="007E0ADB" w:rsidRPr="00F91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Default="005856BE" w:rsidR="005856BE" w:rsidRPr="008F68DD">
      <w:pPr>
        <w:rPr>
          <w:sz w:val="22"/>
          <w:szCs w:val="22"/>
        </w:rPr>
      </w:pPr>
    </w:p>
    <w:sectPr w:rsidSect="00E6480F" w:rsidR="005856BE" w:rsidRPr="008F68DD">
      <w:headerReference w:type="even" r:id="rId9"/>
      <w:pgSz w:h="16838" w:w="11906"/>
      <w:pgMar w:gutter="0" w:footer="709" w:header="709" w:left="1418" w:bottom="1134" w:right="1134" w:top="567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547B65" w:rsidP="0038203C" w:rsidR="00547B65">
      <w:r>
        <w:separator/>
      </w:r>
    </w:p>
  </w:endnote>
  <w:endnote w:id="1" w:type="continuationSeparator">
    <w:p w:rsidRDefault="00547B65" w:rsidP="0038203C" w:rsidR="00547B6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547B65" w:rsidP="0038203C" w:rsidR="00547B65">
      <w:r>
        <w:separator/>
      </w:r>
    </w:p>
  </w:footnote>
  <w:footnote w:id="1" w:type="continuationSeparator">
    <w:p w:rsidRDefault="00547B65" w:rsidP="0038203C" w:rsidR="00547B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9F6DFA" w:rsidP="00E6480F" w:rsidR="00E6480F">
    <w:pPr>
      <w:pStyle w:val="a3"/>
      <w:framePr w:y="1" w:xAlign="center" w:vAnchor="text" w:hAnchor="margin" w:wrap="around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Default="00E6480F" w:rsidR="00E6480F">
    <w:pPr>
      <w:pStyle w:val="a3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3" w:val="fullPage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8168B"/>
    <w:rsid w:val="00086111"/>
    <w:rsid w:val="000936A8"/>
    <w:rsid w:val="000B7547"/>
    <w:rsid w:val="000C4287"/>
    <w:rsid w:val="000D6FB9"/>
    <w:rsid w:val="000E64E1"/>
    <w:rsid w:val="000F4062"/>
    <w:rsid w:val="00116F27"/>
    <w:rsid w:val="00121E68"/>
    <w:rsid w:val="00124933"/>
    <w:rsid w:val="00126A3E"/>
    <w:rsid w:val="00153919"/>
    <w:rsid w:val="001B2DCE"/>
    <w:rsid w:val="001D3D11"/>
    <w:rsid w:val="001D440D"/>
    <w:rsid w:val="00223B28"/>
    <w:rsid w:val="00242D31"/>
    <w:rsid w:val="00261FB7"/>
    <w:rsid w:val="0027343F"/>
    <w:rsid w:val="002A03C1"/>
    <w:rsid w:val="002C14D7"/>
    <w:rsid w:val="002D2345"/>
    <w:rsid w:val="002D2AAF"/>
    <w:rsid w:val="002D59E5"/>
    <w:rsid w:val="00305C73"/>
    <w:rsid w:val="00323058"/>
    <w:rsid w:val="0033230D"/>
    <w:rsid w:val="00356CD9"/>
    <w:rsid w:val="00365ED9"/>
    <w:rsid w:val="00371CF6"/>
    <w:rsid w:val="0038203C"/>
    <w:rsid w:val="003E5A09"/>
    <w:rsid w:val="0042329A"/>
    <w:rsid w:val="00426A31"/>
    <w:rsid w:val="00432CAA"/>
    <w:rsid w:val="00452F65"/>
    <w:rsid w:val="00461FCE"/>
    <w:rsid w:val="004724AE"/>
    <w:rsid w:val="00483510"/>
    <w:rsid w:val="004B1870"/>
    <w:rsid w:val="004B75DC"/>
    <w:rsid w:val="004D1530"/>
    <w:rsid w:val="00547B65"/>
    <w:rsid w:val="00560A36"/>
    <w:rsid w:val="00575375"/>
    <w:rsid w:val="005856BE"/>
    <w:rsid w:val="005A3AE0"/>
    <w:rsid w:val="005B20B7"/>
    <w:rsid w:val="005E5E60"/>
    <w:rsid w:val="00647FA4"/>
    <w:rsid w:val="00676B55"/>
    <w:rsid w:val="00681D88"/>
    <w:rsid w:val="006A7402"/>
    <w:rsid w:val="006B3EF7"/>
    <w:rsid w:val="006C7753"/>
    <w:rsid w:val="006D030B"/>
    <w:rsid w:val="0070255A"/>
    <w:rsid w:val="007066B9"/>
    <w:rsid w:val="00746E6F"/>
    <w:rsid w:val="00755B3E"/>
    <w:rsid w:val="00773D07"/>
    <w:rsid w:val="0078448E"/>
    <w:rsid w:val="007D258A"/>
    <w:rsid w:val="007E0ADB"/>
    <w:rsid w:val="0080007B"/>
    <w:rsid w:val="0082051E"/>
    <w:rsid w:val="0082397B"/>
    <w:rsid w:val="00824D28"/>
    <w:rsid w:val="00832B0B"/>
    <w:rsid w:val="00852C56"/>
    <w:rsid w:val="00862052"/>
    <w:rsid w:val="0086527B"/>
    <w:rsid w:val="00866173"/>
    <w:rsid w:val="008D0777"/>
    <w:rsid w:val="008D4AD2"/>
    <w:rsid w:val="008F68DD"/>
    <w:rsid w:val="00910B1E"/>
    <w:rsid w:val="0094295E"/>
    <w:rsid w:val="00966C6E"/>
    <w:rsid w:val="00972584"/>
    <w:rsid w:val="00972FAF"/>
    <w:rsid w:val="009751A7"/>
    <w:rsid w:val="00975411"/>
    <w:rsid w:val="009B5E3C"/>
    <w:rsid w:val="009B76EA"/>
    <w:rsid w:val="009C638E"/>
    <w:rsid w:val="009F6DFA"/>
    <w:rsid w:val="00A14E23"/>
    <w:rsid w:val="00A16C33"/>
    <w:rsid w:val="00A242B3"/>
    <w:rsid w:val="00A2481D"/>
    <w:rsid w:val="00A3457E"/>
    <w:rsid w:val="00A6303A"/>
    <w:rsid w:val="00A64764"/>
    <w:rsid w:val="00A778FB"/>
    <w:rsid w:val="00A87D77"/>
    <w:rsid w:val="00A9425C"/>
    <w:rsid w:val="00AB2FD6"/>
    <w:rsid w:val="00AC02D5"/>
    <w:rsid w:val="00AD1096"/>
    <w:rsid w:val="00AE3AF5"/>
    <w:rsid w:val="00B01706"/>
    <w:rsid w:val="00B12E39"/>
    <w:rsid w:val="00B16983"/>
    <w:rsid w:val="00B300D7"/>
    <w:rsid w:val="00B47CD1"/>
    <w:rsid w:val="00B57AA1"/>
    <w:rsid w:val="00B641B4"/>
    <w:rsid w:val="00B97412"/>
    <w:rsid w:val="00BA37DF"/>
    <w:rsid w:val="00BB425C"/>
    <w:rsid w:val="00BF4DF4"/>
    <w:rsid w:val="00BF7219"/>
    <w:rsid w:val="00C21006"/>
    <w:rsid w:val="00C52819"/>
    <w:rsid w:val="00C814F3"/>
    <w:rsid w:val="00C907B4"/>
    <w:rsid w:val="00CC2A2D"/>
    <w:rsid w:val="00CE1E07"/>
    <w:rsid w:val="00CF71B6"/>
    <w:rsid w:val="00D26D2D"/>
    <w:rsid w:val="00D33D1A"/>
    <w:rsid w:val="00D72605"/>
    <w:rsid w:val="00D74AA0"/>
    <w:rsid w:val="00D772CC"/>
    <w:rsid w:val="00D77D76"/>
    <w:rsid w:val="00DA3829"/>
    <w:rsid w:val="00DD60AD"/>
    <w:rsid w:val="00DF4DEE"/>
    <w:rsid w:val="00E036F7"/>
    <w:rsid w:val="00E150BF"/>
    <w:rsid w:val="00E32E7E"/>
    <w:rsid w:val="00E6480F"/>
    <w:rsid w:val="00E958E8"/>
    <w:rsid w:val="00EB1C1D"/>
    <w:rsid w:val="00EB24F6"/>
    <w:rsid w:val="00EF7855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8"/>
        <w:szCs w:val="28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iPriority="0" w:name="Plain Text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21006"/>
    <w:pPr>
      <w:spacing w:lineRule="auto" w:line="240" w:after="0"/>
    </w:pPr>
    <w:rPr>
      <w:sz w:val="24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C21006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C21006"/>
    <w:rPr>
      <w:rFonts w:cs="Times New Roman" w:eastAsia="Times New Roman"/>
      <w:sz w:val="24"/>
      <w:szCs w:val="24"/>
      <w:lang w:eastAsia="ru-RU"/>
    </w:rPr>
  </w:style>
  <w:style w:styleId="a5" w:type="character">
    <w:name w:val="page number"/>
    <w:basedOn w:val="a0"/>
    <w:uiPriority w:val="99"/>
    <w:rsid w:val="00C21006"/>
    <w:rPr>
      <w:rFonts w:cs="Times New Roman"/>
    </w:rPr>
  </w:style>
  <w:style w:styleId="a6" w:type="paragraph">
    <w:name w:val="Balloon Text"/>
    <w:basedOn w:val="a"/>
    <w:link w:val="a7"/>
    <w:uiPriority w:val="99"/>
    <w:semiHidden/>
    <w:unhideWhenUsed/>
    <w:rsid w:val="00C21006"/>
    <w:rPr>
      <w:rFonts w:cs="Tahoma" w:hAnsi="Tahoma" w:ascii="Tahoma"/>
      <w:sz w:val="16"/>
      <w:szCs w:val="16"/>
    </w:rPr>
  </w:style>
  <w:style w:customStyle="true" w:styleId="a7" w:type="character">
    <w:name w:val="Текст выноски Знак"/>
    <w:basedOn w:val="a0"/>
    <w:link w:val="a6"/>
    <w:uiPriority w:val="99"/>
    <w:semiHidden/>
    <w:locked/>
    <w:rsid w:val="00C21006"/>
    <w:rPr>
      <w:rFonts w:cs="Tahoma" w:hAnsi="Tahoma" w:ascii="Tahoma"/>
      <w:sz w:val="16"/>
      <w:szCs w:val="16"/>
      <w:lang w:eastAsia="ru-RU"/>
    </w:rPr>
  </w:style>
  <w:style w:styleId="a8" w:type="paragraph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lineRule="auto" w:line="240" w:after="0"/>
      <w:ind w:firstLine="709"/>
      <w:jc w:val="both"/>
    </w:pPr>
    <w:rPr>
      <w:rFonts w:cs="Calibri" w:eastAsia="Calibri" w:hAnsi="Calibri" w:ascii="Calibri"/>
      <w:color w:val="000000"/>
      <w:sz w:val="22"/>
      <w:szCs w:val="22"/>
      <w:u w:color="000000"/>
      <w:bdr w:val="nil"/>
      <w:lang w:eastAsia="ru-RU"/>
    </w:rPr>
  </w:style>
  <w:style w:customStyle="true" w:styleId="a9" w:type="character">
    <w:name w:val="Текст Знак"/>
    <w:basedOn w:val="a0"/>
    <w:link w:val="a8"/>
    <w:rsid w:val="00F502F5"/>
    <w:rPr>
      <w:rFonts w:cs="Calibri" w:eastAsia="Calibri" w:hAnsi="Calibri" w:ascii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75028018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hart" Target="charts/chart2.xml"></Relationship><Relationship Id="rId3" Type="http://schemas.openxmlformats.org/officeDocument/2006/relationships/settings" Target="settings.xml"></Relationship><Relationship Id="rId7" Type="http://schemas.openxmlformats.org/officeDocument/2006/relationships/chart" Target="charts/chart1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11" Type="http://schemas.openxmlformats.org/officeDocument/2006/relationships/theme" Target="theme/theme1.xml"></Relationship><Relationship Id="rId5" Type="http://schemas.openxmlformats.org/officeDocument/2006/relationships/footnotes" Target="footnotes.xml"></Relationship><Relationship Id="rId10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1.xml"></Relationship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1.xlsx"></Relationship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2.xlsx"></Relationship></Relationships>
</file>

<file path=word/charts/chart1.xml><?xml version="1.0" encoding="utf-8"?>
<c:chartSpac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c:date1904 val="true"/>
  <c:lang val="ru-RU"/>
  <c:style val="34"/>
  <c:chart>
    <c:autoTitleDeleted val="true"/>
    <c:view3D>
      <c:rotX val="40"/>
      <c:rotY val="20"/>
      <c:perspective val="30"/>
    </c:view3D>
    <c:plotArea>
      <c:layout>
        <c:manualLayout>
          <c:layoutTarget val="inner"/>
          <c:xMode val="edge"/>
          <c:yMode val="edge"/>
          <c:x val="0.04490884498141241"/>
          <c:y val="0.04563740068102928"/>
          <c:w val="0.5339940766820385"/>
          <c:h val="0.834530564922821"/>
        </c:manualLayout>
      </c:layout>
      <c:pie3DChart>
        <c:varyColors val="true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dir="t" rig="threeP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true"/>
            </c:dLbl>
            <c:numFmt sourceLinked="false" formatCode="General"/>
            <c:showPercent val="true"/>
            <c:showLeaderLines val="true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прав субъектов персональных данных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275</c:v>
                </c:pt>
                <c:pt idx="1">
                  <c:v>420</c:v>
                </c:pt>
                <c:pt idx="2">
                  <c:v>1510</c:v>
                </c:pt>
                <c:pt idx="3">
                  <c:v>1108</c:v>
                </c:pt>
                <c:pt idx="4">
                  <c:v>118</c:v>
                </c:pt>
                <c:pt idx="5">
                  <c:v>915</c:v>
                </c:pt>
                <c:pt idx="6">
                  <c:v>411</c:v>
                </c:pt>
                <c:pt idx="7">
                  <c:v>0</c:v>
                </c:pt>
              </c:numCache>
            </c:numRef>
          </c:val>
        </c:ser>
      </c:pie3DChart>
      <c:spPr>
        <a:scene3d>
          <a:camera prst="orthographicFront"/>
          <a:lightRig dir="t" rig="threePt"/>
        </a:scene3d>
        <a:sp3d prstMaterial="metal"/>
      </c:spPr>
    </c:plotArea>
    <c:legend>
      <c:legendPos val="r"/>
      <c:layout>
        <c:manualLayout>
          <c:xMode val="edge"/>
          <c:yMode val="edge"/>
          <c:x val="0.6147896824297477"/>
          <c:y val="0.08236215107079002"/>
          <c:w val="0.34009989649467265"/>
          <c:h val="0.7981781154509926"/>
        </c:manualLayout>
      </c:layout>
      <c:spPr>
        <a:ln w="0"/>
      </c:spPr>
      <c:txPr>
        <a:bodyPr/>
        <a:lstStyle/>
        <a:p>
          <a:pPr algn="just">
            <a:defRPr baseline="0" sz="800"/>
          </a:pPr>
          <a:endParaRPr lang="ru-RU"/>
        </a:p>
      </c:txPr>
    </c:legend>
    <c:plotVisOnly val="true"/>
  </c:chart>
  <c:spPr>
    <a:scene3d>
      <a:camera prst="orthographicFront"/>
      <a:lightRig dir="t" rig="threePt"/>
    </a:scene3d>
    <a:sp3d>
      <a:bevelT/>
    </a:sp3d>
  </c:spPr>
  <c:txPr>
    <a:bodyPr/>
    <a:lstStyle/>
    <a:p>
      <a:pPr>
        <a:defRPr>
          <a:latin charset="0" pitchFamily="18" typeface="Times New Roman"/>
          <a:cs charset="0" pitchFamily="18" typeface="Times New Roman"/>
        </a:defRPr>
      </a:pPr>
      <a:endParaRPr lang="ru-RU"/>
    </a:p>
  </c:txPr>
  <c:externalData r:id="rId1"/>
</c:chartSpace>
</file>

<file path=word/charts/chart2.xml><?xml version="1.0" encoding="utf-8"?>
<c:chartSpac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c:date1904 val="true"/>
  <c:lang val="ru-RU"/>
  <c:chart>
    <c:view3D>
      <c:rAngAx val="true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511</c:v>
                </c:pt>
                <c:pt idx="1">
                  <c:v>537</c:v>
                </c:pt>
                <c:pt idx="2">
                  <c:v>464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2920</c:v>
                </c:pt>
                <c:pt idx="1">
                  <c:v>1710</c:v>
                </c:pt>
                <c:pt idx="2">
                  <c:v>1585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hape val="cylinder"/>
        <c:axId val="140777344"/>
        <c:axId val="140778880"/>
        <c:axId val="0"/>
      </c:bar3DChart>
      <c:catAx>
        <c:axId val="140777344"/>
        <c:scaling>
          <c:orientation val="minMax"/>
        </c:scaling>
        <c:axPos val="b"/>
        <c:tickLblPos val="nextTo"/>
        <c:crossAx val="140778880"/>
        <c:crosses val="autoZero"/>
        <c:auto val="true"/>
        <c:lblAlgn val="ctr"/>
        <c:lblOffset val="100"/>
      </c:catAx>
      <c:valAx>
        <c:axId val="140778880"/>
        <c:scaling>
          <c:orientation val="minMax"/>
        </c:scaling>
        <c:axPos val="l"/>
        <c:majorGridlines/>
        <c:numFmt sourceLinked="true" formatCode="General"/>
        <c:tickLblPos val="nextTo"/>
        <c:crossAx val="140777344"/>
        <c:crosses val="autoZero"/>
        <c:crossBetween val="between"/>
      </c:valAx>
    </c:plotArea>
    <c:legend>
      <c:legendPos val="r"/>
    </c:legend>
    <c:plotVisOnly val="true"/>
  </c:chart>
  <c:externalData r:id="rId1"/>
</c:chartSpace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RKN</properties:Company>
  <properties:Pages>1</properties:Pages>
  <properties:Words>688</properties:Words>
  <properties:Characters>3925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4604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2014-10-15T04:46:00Z</dcterms:created>
  <dc:creator>User</dc:creator>
  <cp:lastModifiedBy>docx4j</cp:lastModifiedBy>
  <cp:lastPrinted>2014-03-19T10:20:00Z</cp:lastPrinted>
  <dcterms:modified xmlns:xsi="http://www.w3.org/2001/XMLSchema-instance" xsi:type="dcterms:W3CDTF">2014-10-15T04:46:00Z</dcterms:modified>
  <cp:revision>1</cp:revision>
</cp:coreProperties>
</file>