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B7" w:rsidRPr="005D64B7" w:rsidRDefault="005D64B7" w:rsidP="005D64B7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bookmarkStart w:id="0" w:name="_Toc124867830"/>
      <w:bookmarkStart w:id="1" w:name="_Toc132133546"/>
      <w:bookmarkStart w:id="2" w:name="_Toc479666281"/>
      <w:bookmarkStart w:id="3" w:name="_Toc503986388"/>
      <w:bookmarkStart w:id="4" w:name="_Toc510816187"/>
      <w:r w:rsidRPr="005D64B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1.</w:t>
      </w:r>
      <w:r w:rsidRPr="005D64B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 </w:t>
      </w:r>
      <w:r w:rsidRPr="005D64B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СВЕДЕНИЯ О ВЫП</w:t>
      </w:r>
      <w:r w:rsidRPr="005D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ОЛНЕНИИ ПОЛНОМОЧИЙ, ВОЗЛОЖЕННЫХ</w:t>
      </w:r>
      <w:r w:rsidRPr="005D64B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br/>
      </w:r>
      <w:r w:rsidRPr="005D64B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НА ТЕРРИТОРИАЛЬНЫЙ ОРГАН РОСКОМНАДЗОРА</w:t>
      </w:r>
      <w:bookmarkEnd w:id="0"/>
      <w:bookmarkEnd w:id="1"/>
    </w:p>
    <w:p w:rsidR="005D64B7" w:rsidRPr="005D64B7" w:rsidRDefault="005D64B7" w:rsidP="005D64B7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5" w:name="_Toc124867831"/>
      <w:bookmarkStart w:id="6" w:name="_Toc132133547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1.1. Общие сведения об объектах и предметах надзора</w:t>
      </w:r>
      <w:bookmarkEnd w:id="5"/>
      <w:bookmarkEnd w:id="6"/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Управление Федеральной службы по надзору в сфере связи, информационных технологий и массовых коммуникаций по Центральному федеральному округу (далее – Управление) осуществляет свою деятельность в соответствии с Положением об Управлении, утвержденным Приказом Руководителя Федеральной службы по надзору в сфере связи, информационных технологий и массовых коммуникаций (далее – </w:t>
      </w:r>
      <w:proofErr w:type="spellStart"/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Роскомнадзор</w:t>
      </w:r>
      <w:proofErr w:type="spellEnd"/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) от 25.01.2016 № 38.</w:t>
      </w: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За первый квартал 2023 год на территории Москвы и Московской области (московского региона) осуществляли деятельность 225 534 субъектов надзора. В целом количество субъектов надзора в сравнении с первым кварталом 2022 года возросло практически в 7 раз, что отражено на диаграмме 1.</w:t>
      </w: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i/>
          <w:sz w:val="28"/>
          <w:szCs w:val="20"/>
          <w:u w:color="000000"/>
          <w:lang w:eastAsia="ru-RU"/>
        </w:rPr>
        <w:t>Диаграмма 1</w:t>
      </w:r>
    </w:p>
    <w:p w:rsidR="005D64B7" w:rsidRPr="005D64B7" w:rsidRDefault="005D64B7" w:rsidP="005D64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D64B7">
        <w:rPr>
          <w:rFonts w:ascii="Calibri" w:eastAsia="Calibri" w:hAnsi="Calibri" w:cs="Times New Roman"/>
          <w:noProof/>
          <w:szCs w:val="28"/>
          <w:u w:color="000000"/>
          <w:bdr w:val="nil"/>
          <w:lang w:eastAsia="ru-RU"/>
        </w:rPr>
        <w:drawing>
          <wp:inline distT="0" distB="0" distL="0" distR="0" wp14:anchorId="02B0437F" wp14:editId="3F1A23FF">
            <wp:extent cx="5908040" cy="33159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64B7" w:rsidRPr="005D64B7" w:rsidRDefault="005D64B7" w:rsidP="005D64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Значительный рост операторов персональных данных связан со вступлением в силу с 1 сентября 2022 года изменений в часть 2 статьи 22 </w:t>
      </w:r>
      <w:r w:rsidRPr="005D64B7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Федерального закона от 27.07.2006 № 152-ФЗ «О персональных данных» (далее – Закона № 152-ФЗ).</w:t>
      </w:r>
    </w:p>
    <w:p w:rsidR="005D64B7" w:rsidRPr="005D64B7" w:rsidRDefault="005D64B7" w:rsidP="005D64B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4B7">
        <w:rPr>
          <w:rFonts w:ascii="Times New Roman" w:hAnsi="Times New Roman"/>
          <w:sz w:val="28"/>
        </w:rPr>
        <w:br w:type="page"/>
      </w: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lastRenderedPageBreak/>
        <w:t>Сведения об объектах надзора, подлежащих контролю в рамках осуществления полномочий, возложенных на Управление, приведены в таблицах.</w:t>
      </w: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</w:p>
    <w:p w:rsidR="005D64B7" w:rsidRPr="005D64B7" w:rsidRDefault="005D64B7" w:rsidP="005D64B7">
      <w:pPr>
        <w:tabs>
          <w:tab w:val="left" w:pos="119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  <w:r w:rsidRPr="005D64B7">
        <w:rPr>
          <w:rFonts w:ascii="Times New Roman" w:hAnsi="Times New Roman"/>
          <w:i/>
          <w:sz w:val="28"/>
        </w:rPr>
        <w:t>Таблица 1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36"/>
        <w:gridCol w:w="2514"/>
      </w:tblGrid>
      <w:tr w:rsidR="005D64B7" w:rsidRPr="005D64B7" w:rsidTr="001C6256">
        <w:trPr>
          <w:trHeight w:val="287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лицензиях, действующих на территории московского региона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5D64B7" w:rsidRPr="005D64B7" w:rsidRDefault="005D64B7" w:rsidP="005D64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деятельности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D64B7" w:rsidRPr="005D64B7" w:rsidRDefault="005D64B7" w:rsidP="005D64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5D64B7" w:rsidRPr="005D64B7" w:rsidTr="001C6256">
        <w:trPr>
          <w:trHeight w:val="321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(ТЛМ) </w:t>
            </w:r>
            <w:proofErr w:type="spellStart"/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Телематические</w:t>
            </w:r>
            <w:proofErr w:type="spellEnd"/>
            <w:r w:rsidRPr="005D64B7">
              <w:rPr>
                <w:rFonts w:ascii="Times New Roman" w:hAnsi="Times New Roman" w:cs="Times New Roman"/>
                <w:sz w:val="26"/>
                <w:szCs w:val="26"/>
              </w:rPr>
              <w:t xml:space="preserve"> услуги связи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(ПД)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(АК) Услуги связи по предоставлению каналов связи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175</w:t>
            </w: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(МТ</w:t>
            </w:r>
            <w:proofErr w:type="gramStart"/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)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(ПГИПД) Услуги связи по передаче данных для целей передачи голосовой информации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(СКТВ) Услуги связи для целей кабельного вещания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553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(ПС) Услуги почтовой связи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557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(ЭФ) Услуги связи для целей эфирного вещания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(МТЗ) Услуги внутризоновой телефонной связи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(ПКП) Услуги местной телефонной связи с использованием средств коллективного доступа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(ПВ) Услуги связи для целей проводного радиовещания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(РТС) Услуги подвижной радиотелефонной связи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(МНМГ) Услуги междугородной и международной телефонной связи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(РС) Услуги подвижной радиосвязи в выделенной сети связи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(ТФВС) Услуги телефонной связи в выделенной сети связи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(ТГ) Услуги телеграфной связи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(РТ) Услуги подвижной радиосвязи в сети связи общего пользования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(ТАКС) Услуги местной телефонной связи с использованием таксофонов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(СПРС) Услуги подвижной спутниковой радиосвязи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64B7" w:rsidRPr="005D64B7" w:rsidRDefault="005D64B7" w:rsidP="005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D64B7" w:rsidRPr="005D64B7" w:rsidTr="001C6256">
        <w:trPr>
          <w:trHeight w:val="28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64B7" w:rsidRPr="005D64B7" w:rsidRDefault="005D64B7" w:rsidP="005D64B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 52</w:t>
            </w: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5D64B7" w:rsidRPr="005D64B7" w:rsidRDefault="005D64B7" w:rsidP="005D64B7">
      <w:pPr>
        <w:tabs>
          <w:tab w:val="left" w:pos="119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</w:p>
    <w:p w:rsidR="005D64B7" w:rsidRPr="005D64B7" w:rsidRDefault="005D64B7" w:rsidP="005D64B7">
      <w:pPr>
        <w:tabs>
          <w:tab w:val="left" w:pos="119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</w:p>
    <w:p w:rsidR="005D64B7" w:rsidRPr="005D64B7" w:rsidRDefault="005D64B7" w:rsidP="005D64B7">
      <w:pPr>
        <w:tabs>
          <w:tab w:val="left" w:pos="119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  <w:r w:rsidRPr="005D64B7">
        <w:rPr>
          <w:rFonts w:ascii="Times New Roman" w:hAnsi="Times New Roman"/>
          <w:i/>
          <w:sz w:val="28"/>
        </w:rPr>
        <w:t>Таблица 2</w:t>
      </w:r>
    </w:p>
    <w:tbl>
      <w:tblPr>
        <w:tblStyle w:val="a3"/>
        <w:tblW w:w="9495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15"/>
        <w:gridCol w:w="1448"/>
        <w:gridCol w:w="1150"/>
        <w:gridCol w:w="1582"/>
      </w:tblGrid>
      <w:tr w:rsidR="005D64B7" w:rsidRPr="005D64B7" w:rsidTr="001C6256">
        <w:trPr>
          <w:trHeight w:val="18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D64B7" w:rsidRPr="005D64B7" w:rsidRDefault="005D64B7" w:rsidP="005D64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объектах надзора в реестрах</w:t>
            </w:r>
          </w:p>
        </w:tc>
      </w:tr>
      <w:tr w:rsidR="005D64B7" w:rsidRPr="005D64B7" w:rsidTr="001C6256">
        <w:trPr>
          <w:trHeight w:val="387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5D64B7" w:rsidRPr="005D64B7" w:rsidRDefault="005D64B7" w:rsidP="005D64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5D64B7" w:rsidRPr="005D64B7" w:rsidRDefault="005D64B7" w:rsidP="005D64B7">
            <w:pPr>
              <w:ind w:hanging="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D64B7" w:rsidRPr="005D64B7" w:rsidRDefault="005D64B7" w:rsidP="005D64B7">
            <w:pPr>
              <w:ind w:hanging="102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b/>
                <w:sz w:val="26"/>
                <w:szCs w:val="26"/>
              </w:rPr>
              <w:t>Динамика</w:t>
            </w:r>
          </w:p>
        </w:tc>
      </w:tr>
      <w:tr w:rsidR="005D64B7" w:rsidRPr="005D64B7" w:rsidTr="001C6256">
        <w:trPr>
          <w:trHeight w:val="139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Количество франкировальных машин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</w:pPr>
            <w:r w:rsidRPr="005D64B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/>
              </w:rPr>
              <w:t>201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↑</w:t>
            </w: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/>
              </w:rPr>
              <w:t>0,5</w:t>
            </w: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%</w:t>
            </w:r>
          </w:p>
        </w:tc>
      </w:tr>
      <w:tr w:rsidR="005D64B7" w:rsidRPr="005D64B7" w:rsidTr="001C6256">
        <w:trPr>
          <w:trHeight w:val="18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Количество радиоэлектронных средств (дале</w:t>
            </w:r>
            <w:proofErr w:type="gramStart"/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е-</w:t>
            </w:r>
            <w:proofErr w:type="gramEnd"/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 xml:space="preserve"> РЭС)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/>
              </w:rPr>
            </w:pPr>
            <w:r w:rsidRPr="005D64B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/>
              </w:rPr>
              <w:t>412737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483522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↑</w:t>
            </w: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/>
              </w:rPr>
              <w:t>1</w:t>
            </w: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7%</w:t>
            </w:r>
          </w:p>
        </w:tc>
      </w:tr>
      <w:tr w:rsidR="005D64B7" w:rsidRPr="005D64B7" w:rsidTr="001C6256">
        <w:trPr>
          <w:trHeight w:val="139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 xml:space="preserve">Количество высокочастотных устройств </w:t>
            </w: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lastRenderedPageBreak/>
              <w:t>(далее – ВЧУ)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/>
              </w:rPr>
            </w:pPr>
            <w:r w:rsidRPr="005D64B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/>
              </w:rPr>
              <w:lastRenderedPageBreak/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658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↓55%</w:t>
            </w:r>
          </w:p>
        </w:tc>
      </w:tr>
      <w:tr w:rsidR="005D64B7" w:rsidRPr="005D64B7" w:rsidTr="001C6256">
        <w:trPr>
          <w:trHeight w:val="139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lastRenderedPageBreak/>
              <w:t>Количество средств массовой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1</w:t>
            </w: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/>
              </w:rPr>
              <w:t>487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/>
              </w:rPr>
              <w:t>1229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658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</w:pP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↓</w:t>
            </w: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en-US"/>
              </w:rPr>
              <w:t>17</w:t>
            </w:r>
            <w:r w:rsidRPr="005D64B7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</w:rPr>
              <w:t>%</w:t>
            </w:r>
          </w:p>
        </w:tc>
      </w:tr>
    </w:tbl>
    <w:p w:rsidR="005D64B7" w:rsidRPr="005D64B7" w:rsidRDefault="005D64B7" w:rsidP="005D64B7">
      <w:pPr>
        <w:tabs>
          <w:tab w:val="left" w:pos="1190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5D64B7" w:rsidRPr="005D64B7" w:rsidRDefault="005D64B7" w:rsidP="005D64B7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7" w:name="_Toc132133548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1.2.</w:t>
      </w:r>
      <w:bookmarkEnd w:id="2"/>
      <w:bookmarkEnd w:id="3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 Результаты контрольно-надзорной деятельности</w:t>
      </w:r>
      <w:bookmarkStart w:id="8" w:name="_Toc472886814"/>
      <w:bookmarkStart w:id="9" w:name="_Toc479666282"/>
      <w:bookmarkStart w:id="10" w:name="_Toc503986389"/>
      <w:bookmarkStart w:id="11" w:name="_Toc510816188"/>
      <w:bookmarkEnd w:id="4"/>
      <w:bookmarkEnd w:id="7"/>
    </w:p>
    <w:p w:rsidR="005D64B7" w:rsidRPr="005D64B7" w:rsidRDefault="005D64B7" w:rsidP="005D64B7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2" w:name="_Toc132133549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1.2.1.</w:t>
      </w:r>
      <w:bookmarkEnd w:id="8"/>
      <w:bookmarkEnd w:id="9"/>
      <w:bookmarkEnd w:id="10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 Результаты проведения плановых проверок юридических лиц</w:t>
      </w:r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br/>
        <w:t>(их филиалов, представительств, обособленных подразделений)</w:t>
      </w:r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br/>
        <w:t xml:space="preserve">и индивидуальных предпринимателей (ИП) и плановых мероприятий </w:t>
      </w:r>
      <w:bookmarkEnd w:id="11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без взаимодействия с проверяемыми лицами</w:t>
      </w:r>
      <w:bookmarkEnd w:id="12"/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План контрольных (надзорных) мероприятий Управления Федеральной службы по надзору в сфере связи, информационных технологий и массовых коммуникаций по Центральному федеральному округу (далее – Управление) на 2023 год утвержден приказом руководителя Управления от 08.11.2022 № 286 (далее – План деятельности).</w:t>
      </w: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В соответствии Планом деятельности на 2023 год Управлением запланировано 136 мероприятия государственного контроля (надзора).</w:t>
      </w:r>
    </w:p>
    <w:p w:rsidR="005D64B7" w:rsidRPr="005D64B7" w:rsidRDefault="005D64B7" w:rsidP="005D64B7">
      <w:pPr>
        <w:tabs>
          <w:tab w:val="left" w:pos="1190"/>
        </w:tabs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5D64B7">
        <w:rPr>
          <w:rFonts w:ascii="Times New Roman" w:hAnsi="Times New Roman"/>
          <w:i/>
          <w:sz w:val="28"/>
        </w:rPr>
        <w:t>Таблица 3</w:t>
      </w:r>
    </w:p>
    <w:tbl>
      <w:tblPr>
        <w:tblStyle w:val="a3"/>
        <w:tblW w:w="9195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75"/>
        <w:gridCol w:w="2408"/>
        <w:gridCol w:w="2112"/>
      </w:tblGrid>
      <w:tr w:rsidR="005D64B7" w:rsidRPr="005D64B7" w:rsidTr="001C6256">
        <w:trPr>
          <w:trHeight w:val="286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64B7" w:rsidRPr="005D64B7" w:rsidRDefault="005D64B7" w:rsidP="005D64B7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контрольных (надзорных) мероприятиях</w:t>
            </w:r>
          </w:p>
        </w:tc>
      </w:tr>
      <w:tr w:rsidR="005D64B7" w:rsidRPr="005D64B7" w:rsidTr="001C6256">
        <w:trPr>
          <w:trHeight w:val="1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D64B7" w:rsidRPr="005D64B7" w:rsidRDefault="005D64B7" w:rsidP="005D6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5D64B7" w:rsidRPr="005D64B7" w:rsidRDefault="005D64B7" w:rsidP="005D64B7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64B7" w:rsidRPr="005D64B7" w:rsidRDefault="005D64B7" w:rsidP="005D64B7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</w:tr>
      <w:tr w:rsidR="005D64B7" w:rsidRPr="005D64B7" w:rsidTr="001C6256">
        <w:trPr>
          <w:trHeight w:val="1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4B7" w:rsidRPr="005D64B7" w:rsidRDefault="005D64B7" w:rsidP="005D6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Всего запланировано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4B7" w:rsidRPr="005D64B7" w:rsidRDefault="005D64B7" w:rsidP="005D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136</w:t>
            </w:r>
          </w:p>
        </w:tc>
      </w:tr>
      <w:tr w:rsidR="005D64B7" w:rsidRPr="005D64B7" w:rsidTr="001C6256">
        <w:trPr>
          <w:trHeight w:val="161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Плановые проверки</w:t>
            </w:r>
          </w:p>
        </w:tc>
      </w:tr>
      <w:tr w:rsidR="005D64B7" w:rsidRPr="005D64B7" w:rsidTr="001C6256">
        <w:trPr>
          <w:trHeight w:val="1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4B7" w:rsidRPr="005D64B7" w:rsidRDefault="005D64B7" w:rsidP="005D6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5D64B7" w:rsidRPr="005D64B7" w:rsidTr="001C6256">
        <w:trPr>
          <w:trHeight w:val="1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4B7" w:rsidRPr="005D64B7" w:rsidRDefault="005D64B7" w:rsidP="005D6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5D64B7" w:rsidRPr="005D64B7" w:rsidTr="001C6256">
        <w:trPr>
          <w:trHeight w:val="1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4B7" w:rsidRPr="005D64B7" w:rsidRDefault="005D64B7" w:rsidP="005D6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Отменено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5D64B7" w:rsidRPr="005D64B7" w:rsidTr="001C6256">
        <w:trPr>
          <w:trHeight w:val="161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Плановые мероприятия без взаимодействия</w:t>
            </w:r>
          </w:p>
        </w:tc>
      </w:tr>
      <w:tr w:rsidR="005D64B7" w:rsidRPr="005D64B7" w:rsidTr="001C6256">
        <w:trPr>
          <w:trHeight w:val="1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4B7" w:rsidRPr="005D64B7" w:rsidRDefault="005D64B7" w:rsidP="005D6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136</w:t>
            </w:r>
          </w:p>
        </w:tc>
      </w:tr>
      <w:tr w:rsidR="005D64B7" w:rsidRPr="005D64B7" w:rsidTr="001C6256">
        <w:trPr>
          <w:trHeight w:val="1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4B7" w:rsidRPr="005D64B7" w:rsidRDefault="005D64B7" w:rsidP="005D6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136</w:t>
            </w:r>
          </w:p>
        </w:tc>
      </w:tr>
      <w:tr w:rsidR="005D64B7" w:rsidRPr="005D64B7" w:rsidTr="001C6256">
        <w:trPr>
          <w:trHeight w:val="1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4B7" w:rsidRPr="005D64B7" w:rsidRDefault="005D64B7" w:rsidP="005D6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</w:rPr>
              <w:t>Отменено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4B7" w:rsidRPr="005D64B7" w:rsidRDefault="005D64B7" w:rsidP="005D64B7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64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</w:tbl>
    <w:p w:rsidR="005D64B7" w:rsidRPr="005D64B7" w:rsidRDefault="005D64B7" w:rsidP="005D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 состоянию на 31.03.2023 проведено 100% запланированных мероприятий без взаимодействия с проверяемыми лицами, проверки юридических лиц (их филиалов, представительств, обособленных структурных подразделений) и индивидуальных предпринимателей не были запланированы.</w:t>
      </w: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u w:color="000000"/>
          <w:bdr w:val="nil"/>
          <w:lang w:eastAsia="ru-RU"/>
        </w:rPr>
      </w:pPr>
    </w:p>
    <w:p w:rsidR="005D64B7" w:rsidRPr="005D64B7" w:rsidRDefault="005D64B7" w:rsidP="005D64B7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3" w:name="_Toc510816189"/>
      <w:bookmarkStart w:id="14" w:name="_Toc132133550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1.2.1.1. Сведения о проведенных плановых проверках во взаимодействии</w:t>
      </w:r>
      <w:bookmarkEnd w:id="13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 xml:space="preserve"> с проверяемыми лицами</w:t>
      </w:r>
      <w:bookmarkEnd w:id="14"/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bookmarkStart w:id="15" w:name="_Toc510816190"/>
      <w:bookmarkStart w:id="16" w:name="_Toc472886815"/>
      <w:bookmarkStart w:id="17" w:name="_Toc479666283"/>
      <w:bookmarkStart w:id="18" w:name="_Toc503986390"/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Проведение плановых контрольных (надзорных) мероприятий во взаимодействии с контролируемыми лицами в 2023 году не планируется.</w:t>
      </w:r>
    </w:p>
    <w:p w:rsidR="005D64B7" w:rsidRPr="005D64B7" w:rsidRDefault="005D64B7" w:rsidP="005D64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5D64B7" w:rsidRPr="005D64B7" w:rsidRDefault="005D64B7" w:rsidP="005D64B7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19" w:name="_Toc132133551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1.2.1.2. Сведения о проведенных плановых мероприятиях систематического наблюдения (далее – СН</w:t>
      </w:r>
      <w:bookmarkEnd w:id="15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)</w:t>
      </w:r>
      <w:bookmarkEnd w:id="19"/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Из 136 запланированных в первом квартале 2023 года проведено 136 </w:t>
      </w: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lastRenderedPageBreak/>
        <w:t>мероприятий без взаимодействия с проверяемыми лицами, что составляет 100%.</w:t>
      </w:r>
    </w:p>
    <w:p w:rsidR="005D64B7" w:rsidRPr="005D64B7" w:rsidRDefault="005D64B7" w:rsidP="005D64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</w:p>
    <w:p w:rsidR="005D64B7" w:rsidRPr="005D64B7" w:rsidRDefault="005D64B7" w:rsidP="005D64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</w:p>
    <w:p w:rsidR="005D64B7" w:rsidRPr="005D64B7" w:rsidRDefault="005D64B7" w:rsidP="005D64B7">
      <w:pPr>
        <w:tabs>
          <w:tab w:val="left" w:pos="1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64B7">
        <w:rPr>
          <w:rFonts w:ascii="Times New Roman" w:hAnsi="Times New Roman" w:cs="Times New Roman"/>
          <w:i/>
          <w:sz w:val="28"/>
          <w:szCs w:val="28"/>
        </w:rPr>
        <w:t>Диаграмма</w:t>
      </w:r>
      <w:r w:rsidRPr="005D64B7">
        <w:rPr>
          <w:rFonts w:ascii="Times New Roman" w:hAnsi="Times New Roman"/>
          <w:i/>
          <w:sz w:val="28"/>
        </w:rPr>
        <w:t xml:space="preserve"> 2</w:t>
      </w:r>
    </w:p>
    <w:p w:rsidR="005D64B7" w:rsidRPr="005D64B7" w:rsidRDefault="005D64B7" w:rsidP="005D64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  <w:u w:color="000000"/>
          <w:bdr w:val="nil"/>
          <w:lang w:eastAsia="ru-RU"/>
        </w:rPr>
      </w:pPr>
      <w:r w:rsidRPr="005D64B7">
        <w:rPr>
          <w:rFonts w:ascii="Times New Roman" w:eastAsia="Calibri" w:hAnsi="Times New Roman" w:cs="Times New Roman"/>
          <w:noProof/>
          <w:sz w:val="26"/>
          <w:szCs w:val="26"/>
          <w:u w:color="000000"/>
          <w:bdr w:val="nil"/>
          <w:lang w:eastAsia="ru-RU"/>
        </w:rPr>
        <w:drawing>
          <wp:inline distT="0" distB="0" distL="0" distR="0" wp14:anchorId="66CDC9CE" wp14:editId="7FC3C05E">
            <wp:extent cx="5860415" cy="155829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u w:color="000000"/>
          <w:lang w:eastAsia="ru-RU"/>
        </w:rPr>
      </w:pP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В 2023 году по сравнению с аналогичным периодом 2022 года количество выявленных нарушений по итогам проведения плановых мероприятий СН возросло на 67%</w:t>
      </w:r>
      <w:r w:rsidRPr="005D64B7">
        <w:rPr>
          <w:rFonts w:ascii="Times New Roman" w:eastAsia="Times New Roman" w:hAnsi="Times New Roman" w:cs="Times New Roman"/>
          <w:bCs/>
          <w:sz w:val="28"/>
          <w:szCs w:val="20"/>
          <w:u w:color="000000"/>
          <w:lang w:eastAsia="ru-RU"/>
        </w:rPr>
        <w:t>.</w:t>
      </w:r>
    </w:p>
    <w:p w:rsidR="005D64B7" w:rsidRPr="005D64B7" w:rsidRDefault="005D64B7" w:rsidP="005D64B7">
      <w:pPr>
        <w:tabs>
          <w:tab w:val="left" w:pos="1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64B7">
        <w:rPr>
          <w:rFonts w:ascii="Times New Roman" w:hAnsi="Times New Roman" w:cs="Times New Roman"/>
          <w:i/>
          <w:sz w:val="28"/>
          <w:szCs w:val="28"/>
        </w:rPr>
        <w:t>Диаграмма</w:t>
      </w:r>
      <w:r w:rsidRPr="005D64B7">
        <w:rPr>
          <w:rFonts w:ascii="Times New Roman" w:hAnsi="Times New Roman"/>
          <w:i/>
          <w:sz w:val="28"/>
        </w:rPr>
        <w:t xml:space="preserve"> 3</w:t>
      </w:r>
    </w:p>
    <w:p w:rsidR="005D64B7" w:rsidRPr="005D64B7" w:rsidRDefault="005D64B7" w:rsidP="005D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5D64B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B7E2DE" wp14:editId="108716EC">
            <wp:extent cx="5677535" cy="163766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64B7" w:rsidRPr="005D64B7" w:rsidRDefault="005D64B7" w:rsidP="005D64B7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0" w:name="_Toc510816191"/>
      <w:bookmarkStart w:id="21" w:name="_Toc132133552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 xml:space="preserve">1.2.2. Результаты проведения внеплановых проверок </w:t>
      </w:r>
      <w:bookmarkEnd w:id="16"/>
      <w:bookmarkEnd w:id="17"/>
      <w:bookmarkEnd w:id="18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 xml:space="preserve">юридических лиц (их филиалов, представительств, обособленных подразделений) и ИП, внеплановых мероприятий </w:t>
      </w:r>
      <w:bookmarkEnd w:id="20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без взаимодействия с проверяемыми лицами</w:t>
      </w:r>
      <w:bookmarkEnd w:id="21"/>
    </w:p>
    <w:p w:rsidR="005D64B7" w:rsidRPr="005D64B7" w:rsidRDefault="005D64B7" w:rsidP="005D64B7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2" w:name="_Toc510816192"/>
      <w:bookmarkStart w:id="23" w:name="_Toc132133553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1.2.2.1. Сведения о проведенных внеплановых проверках во взаимодействии</w:t>
      </w:r>
      <w:bookmarkEnd w:id="22"/>
      <w:bookmarkEnd w:id="23"/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bookmarkStart w:id="24" w:name="_Toc510816193"/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В первом квартале 2023 года проведено 27 внеплановых проверок. В результате организации и проведения внеплановых проверок выявлено 49 нарушений обязательных требований. </w:t>
      </w:r>
    </w:p>
    <w:p w:rsidR="005D64B7" w:rsidRPr="005D64B7" w:rsidRDefault="005D64B7" w:rsidP="005D64B7">
      <w:pPr>
        <w:tabs>
          <w:tab w:val="left" w:pos="1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64B7">
        <w:rPr>
          <w:rFonts w:ascii="Times New Roman" w:hAnsi="Times New Roman" w:cs="Times New Roman"/>
          <w:i/>
          <w:sz w:val="28"/>
          <w:szCs w:val="28"/>
        </w:rPr>
        <w:t>Диаграмма</w:t>
      </w:r>
      <w:r w:rsidRPr="005D64B7">
        <w:rPr>
          <w:rFonts w:ascii="Times New Roman" w:hAnsi="Times New Roman"/>
          <w:i/>
          <w:sz w:val="28"/>
        </w:rPr>
        <w:t xml:space="preserve"> 4</w:t>
      </w:r>
    </w:p>
    <w:p w:rsidR="005D64B7" w:rsidRPr="005D64B7" w:rsidRDefault="005D64B7" w:rsidP="005D64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5D64B7">
        <w:rPr>
          <w:rFonts w:ascii="Times New Roman" w:eastAsia="Times New Roman" w:hAnsi="Times New Roman" w:cs="Times New Roman"/>
          <w:noProof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4D5637CD" wp14:editId="7FA7A237">
            <wp:extent cx="6154310" cy="180494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64B7" w:rsidRPr="005D64B7" w:rsidRDefault="005D64B7" w:rsidP="005D64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</w:p>
    <w:p w:rsidR="005D64B7" w:rsidRPr="005D64B7" w:rsidRDefault="005D64B7" w:rsidP="005D64B7">
      <w:pPr>
        <w:tabs>
          <w:tab w:val="left" w:pos="1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64B7">
        <w:rPr>
          <w:rFonts w:ascii="Times New Roman" w:hAnsi="Times New Roman" w:cs="Times New Roman"/>
          <w:i/>
          <w:sz w:val="28"/>
          <w:szCs w:val="28"/>
        </w:rPr>
        <w:t>Диаграмма</w:t>
      </w:r>
      <w:r w:rsidRPr="005D64B7">
        <w:rPr>
          <w:rFonts w:ascii="Times New Roman" w:hAnsi="Times New Roman"/>
          <w:i/>
          <w:sz w:val="28"/>
          <w:lang w:val="en-US"/>
        </w:rPr>
        <w:t xml:space="preserve"> </w:t>
      </w:r>
      <w:r w:rsidRPr="005D64B7">
        <w:rPr>
          <w:rFonts w:ascii="Times New Roman" w:hAnsi="Times New Roman"/>
          <w:i/>
          <w:sz w:val="28"/>
        </w:rPr>
        <w:t>5</w:t>
      </w:r>
    </w:p>
    <w:p w:rsidR="005D64B7" w:rsidRPr="005D64B7" w:rsidRDefault="005D64B7" w:rsidP="005D64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5D64B7">
        <w:rPr>
          <w:rFonts w:ascii="Times New Roman" w:eastAsia="Calibri" w:hAnsi="Times New Roman" w:cs="Times New Roman"/>
          <w:noProof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5D0703A7" wp14:editId="7123F841">
            <wp:extent cx="5812155" cy="251269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64B7" w:rsidRPr="005D64B7" w:rsidRDefault="005D64B7" w:rsidP="005D64B7">
      <w:pPr>
        <w:keepNext/>
        <w:keepLines/>
        <w:spacing w:after="240" w:line="24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u w:color="000000"/>
        </w:rPr>
      </w:pPr>
      <w:bookmarkStart w:id="25" w:name="_Toc132133554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 xml:space="preserve">1.2.2.2. Сведения о проведенных внеплановых мероприятиях </w:t>
      </w:r>
      <w:bookmarkEnd w:id="24"/>
      <w:r w:rsidRPr="005D64B7">
        <w:rPr>
          <w:rFonts w:ascii="Times New Roman" w:eastAsia="Calibri" w:hAnsi="Times New Roman"/>
          <w:b/>
          <w:sz w:val="28"/>
          <w:szCs w:val="28"/>
          <w:u w:color="000000"/>
        </w:rPr>
        <w:t>без взаимодействия с проверяемыми лицами</w:t>
      </w:r>
      <w:bookmarkEnd w:id="25"/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За </w:t>
      </w: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 xml:space="preserve">2023 </w:t>
      </w:r>
      <w:r w:rsidRPr="005D64B7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>год Управлением проведено 85 внеплановых мероприятий по следующим основаниям:</w:t>
      </w:r>
    </w:p>
    <w:p w:rsidR="005D64B7" w:rsidRPr="005D64B7" w:rsidRDefault="005D64B7" w:rsidP="005D6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поручения центрального аппарата Роскомнадзора –</w:t>
      </w: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val="en-US" w:eastAsia="ru-RU"/>
        </w:rPr>
        <w:t xml:space="preserve"> </w:t>
      </w: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19;</w:t>
      </w:r>
    </w:p>
    <w:p w:rsidR="005D64B7" w:rsidRPr="005D64B7" w:rsidRDefault="005D64B7" w:rsidP="005D6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обнаружение нарушений законодательства – 10;</w:t>
      </w:r>
    </w:p>
    <w:p w:rsidR="005D64B7" w:rsidRPr="005D64B7" w:rsidRDefault="005D64B7" w:rsidP="005D6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поручение Президента Российской Федерации, Правительства Российской Федерации или руководителя Роскомнадзора – 52;</w:t>
      </w:r>
    </w:p>
    <w:p w:rsidR="005D64B7" w:rsidRPr="005D64B7" w:rsidRDefault="005D64B7" w:rsidP="005D6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обращения и заявления граждан о нарушении их прав, как субъектов персональных данных – 3;</w:t>
      </w:r>
    </w:p>
    <w:p w:rsidR="005D64B7" w:rsidRPr="005D64B7" w:rsidRDefault="005D64B7" w:rsidP="005D64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</w:pPr>
      <w:r w:rsidRPr="005D64B7">
        <w:rPr>
          <w:rFonts w:ascii="Times New Roman" w:eastAsia="Times New Roman" w:hAnsi="Times New Roman" w:cs="Times New Roman"/>
          <w:sz w:val="28"/>
          <w:szCs w:val="20"/>
          <w:u w:color="000000"/>
          <w:lang w:eastAsia="ru-RU"/>
        </w:rPr>
        <w:t>на основании результатов проведения мероприятий по контролю без взаимодействия с Оператором – 1;</w:t>
      </w:r>
    </w:p>
    <w:p w:rsidR="005D64B7" w:rsidRPr="005D64B7" w:rsidRDefault="005D64B7" w:rsidP="005D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000000"/>
          <w:shd w:val="clear" w:color="auto" w:fill="00FFFF"/>
          <w:lang w:eastAsia="ru-RU"/>
        </w:rPr>
      </w:pPr>
      <w:r w:rsidRPr="005D64B7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>По итогам проведения внеплановых мероприятий в отчетном периоде 2022 года Управлением выявлено 408</w:t>
      </w:r>
      <w:r w:rsidRPr="005D64B7">
        <w:rPr>
          <w:rFonts w:ascii="Times New Roman" w:eastAsia="Calibri" w:hAnsi="Times New Roman" w:cs="Times New Roman"/>
          <w:bCs/>
          <w:sz w:val="28"/>
          <w:szCs w:val="20"/>
          <w:u w:color="000000"/>
          <w:lang w:eastAsia="ru-RU"/>
        </w:rPr>
        <w:t xml:space="preserve"> </w:t>
      </w:r>
      <w:r w:rsidRPr="005D64B7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 xml:space="preserve">нарушений, составлено </w:t>
      </w:r>
      <w:r w:rsidRPr="005D64B7">
        <w:rPr>
          <w:rFonts w:ascii="Times New Roman" w:eastAsia="Calibri" w:hAnsi="Times New Roman" w:cs="Times New Roman"/>
          <w:bCs/>
          <w:sz w:val="28"/>
          <w:szCs w:val="20"/>
          <w:u w:color="000000"/>
          <w:lang w:eastAsia="ru-RU"/>
        </w:rPr>
        <w:t xml:space="preserve">18 </w:t>
      </w:r>
      <w:r w:rsidRPr="005D64B7">
        <w:rPr>
          <w:rFonts w:ascii="Times New Roman" w:eastAsia="Calibri" w:hAnsi="Times New Roman" w:cs="Times New Roman"/>
          <w:sz w:val="28"/>
          <w:szCs w:val="20"/>
          <w:u w:color="000000"/>
          <w:lang w:eastAsia="ru-RU"/>
        </w:rPr>
        <w:t>протоколов об административных правонарушениях.</w:t>
      </w:r>
    </w:p>
    <w:p w:rsidR="005D64B7" w:rsidRPr="005D64B7" w:rsidRDefault="005D64B7" w:rsidP="005D64B7">
      <w:pPr>
        <w:tabs>
          <w:tab w:val="left" w:pos="119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64B7" w:rsidRPr="005D64B7" w:rsidRDefault="005D64B7" w:rsidP="005D64B7">
      <w:pPr>
        <w:tabs>
          <w:tab w:val="left" w:pos="1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64B7">
        <w:rPr>
          <w:rFonts w:ascii="Times New Roman" w:hAnsi="Times New Roman" w:cs="Times New Roman"/>
          <w:i/>
          <w:sz w:val="28"/>
          <w:szCs w:val="28"/>
        </w:rPr>
        <w:t>Диаграмма</w:t>
      </w:r>
      <w:r w:rsidRPr="005D64B7">
        <w:rPr>
          <w:rFonts w:ascii="Times New Roman" w:hAnsi="Times New Roman"/>
          <w:i/>
          <w:sz w:val="28"/>
        </w:rPr>
        <w:t xml:space="preserve"> 6</w:t>
      </w:r>
    </w:p>
    <w:p w:rsidR="005D64B7" w:rsidRPr="005D64B7" w:rsidRDefault="005D64B7" w:rsidP="005D64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64B7" w:rsidRPr="005D64B7" w:rsidRDefault="005D64B7" w:rsidP="005D64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D64B7" w:rsidRPr="005D64B7" w:rsidRDefault="005D64B7" w:rsidP="005D64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D64B7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43F2CCC" wp14:editId="66A669BF">
            <wp:extent cx="5900420" cy="1656080"/>
            <wp:effectExtent l="0" t="0" r="5080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19AA" w:rsidRPr="005D64B7" w:rsidRDefault="009219AA">
      <w:pPr>
        <w:rPr>
          <w:rFonts w:ascii="Times New Roman" w:eastAsia="Calibri" w:hAnsi="Times New Roman" w:cs="Times New Roman"/>
          <w:sz w:val="28"/>
          <w:szCs w:val="28"/>
          <w:highlight w:val="yellow"/>
          <w:u w:color="000000"/>
          <w:bdr w:val="nil"/>
          <w:lang w:eastAsia="ru-RU"/>
        </w:rPr>
      </w:pPr>
      <w:bookmarkStart w:id="26" w:name="_GoBack"/>
      <w:bookmarkEnd w:id="26"/>
    </w:p>
    <w:sectPr w:rsidR="009219AA" w:rsidRPr="005D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19C"/>
    <w:multiLevelType w:val="hybridMultilevel"/>
    <w:tmpl w:val="1D22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B7"/>
    <w:rsid w:val="005D64B7"/>
    <w:rsid w:val="009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Сведения об объектах надзора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2305048180739058"/>
          <c:y val="0.11728574961408726"/>
          <c:w val="0.511295506950325"/>
          <c:h val="0.755630578201083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об объктах надзора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081049948914165E-3"/>
                  <c:y val="3.2847180947002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5F-422B-84A2-E262A7ADA0CD}"/>
                </c:ext>
              </c:extLst>
            </c:dLbl>
            <c:dLbl>
              <c:idx val="1"/>
              <c:layout>
                <c:manualLayout>
                  <c:x val="1.0759901746954341E-2"/>
                  <c:y val="-3.71250236566214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53390686028908E-2"/>
                  <c:y val="-4.310795702929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5F-422B-84A2-E262A7ADA0CD}"/>
                </c:ext>
              </c:extLst>
            </c:dLbl>
            <c:dLbl>
              <c:idx val="3"/>
              <c:layout>
                <c:manualLayout>
                  <c:x val="1.5018980085656155E-2"/>
                  <c:y val="-1.948761420933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5F-422B-84A2-E262A7ADA0CD}"/>
                </c:ext>
              </c:extLst>
            </c:dLbl>
            <c:dLbl>
              <c:idx val="4"/>
              <c:layout>
                <c:manualLayout>
                  <c:x val="6.1386119147073459E-3"/>
                  <c:y val="3.8418957705891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5F-422B-84A2-E262A7ADA0CD}"/>
                </c:ext>
              </c:extLst>
            </c:dLbl>
            <c:dLbl>
              <c:idx val="5"/>
              <c:layout>
                <c:manualLayout>
                  <c:x val="2.7446715757030615E-2"/>
                  <c:y val="-2.1293680099596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5F-422B-84A2-E262A7ADA0CD}"/>
                </c:ext>
              </c:extLst>
            </c:dLbl>
            <c:dLbl>
              <c:idx val="6"/>
              <c:layout>
                <c:manualLayout>
                  <c:x val="8.0096707248365553E-3"/>
                  <c:y val="-9.8508287526657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5F-422B-84A2-E262A7ADA0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↑ 853% Операторы ПД</c:v>
                </c:pt>
                <c:pt idx="1">
                  <c:v>↑ 2% Владельцы РЭС</c:v>
                </c:pt>
                <c:pt idx="2">
                  <c:v>↑ 2% Операторы связи</c:v>
                </c:pt>
                <c:pt idx="3">
                  <c:v>↓ 17% СМИ</c:v>
                </c:pt>
                <c:pt idx="4">
                  <c:v>↓ 12% Вещатели</c:v>
                </c:pt>
                <c:pt idx="5">
                  <c:v>↓ 2% Владельцы франк.машин</c:v>
                </c:pt>
                <c:pt idx="6">
                  <c:v>↓ 43% Владельцы ВЧУ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212940</c:v>
                </c:pt>
                <c:pt idx="1">
                  <c:v>5511</c:v>
                </c:pt>
                <c:pt idx="2">
                  <c:v>5037</c:v>
                </c:pt>
                <c:pt idx="3">
                  <c:v>1229</c:v>
                </c:pt>
                <c:pt idx="4">
                  <c:v>552</c:v>
                </c:pt>
                <c:pt idx="5">
                  <c:v>51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B5F-422B-84A2-E262A7ADA0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5381760"/>
        <c:axId val="180222144"/>
      </c:barChart>
      <c:valAx>
        <c:axId val="180222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5381760"/>
        <c:crosses val="autoZero"/>
        <c:crossBetween val="between"/>
      </c:valAx>
      <c:catAx>
        <c:axId val="3153817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0222144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СН Вещ</c:v>
                </c:pt>
                <c:pt idx="1">
                  <c:v>МБ ОС</c:v>
                </c:pt>
                <c:pt idx="2">
                  <c:v>МБ почты</c:v>
                </c:pt>
                <c:pt idx="3">
                  <c:v>СН СМИ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3</c:v>
                </c:pt>
                <c:pt idx="2">
                  <c:v>5</c:v>
                </c:pt>
                <c:pt idx="3">
                  <c:v>120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0-6C90-4330-97BD-B63157D563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1"/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90-4330-97BD-B63157D563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СН Вещ</c:v>
                </c:pt>
                <c:pt idx="1">
                  <c:v>МБ ОС</c:v>
                </c:pt>
                <c:pt idx="2">
                  <c:v>МБ почты</c:v>
                </c:pt>
                <c:pt idx="3">
                  <c:v>СН СМИ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2</c:v>
                </c:pt>
                <c:pt idx="3">
                  <c:v>116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2-6C90-4330-97BD-B63157D563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5390976"/>
        <c:axId val="174449792"/>
        <c:axId val="0"/>
      </c:bar3DChart>
      <c:catAx>
        <c:axId val="315390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4449792"/>
        <c:crosses val="autoZero"/>
        <c:auto val="1"/>
        <c:lblAlgn val="ctr"/>
        <c:lblOffset val="100"/>
        <c:noMultiLvlLbl val="1"/>
      </c:catAx>
      <c:valAx>
        <c:axId val="174449792"/>
        <c:scaling>
          <c:orientation val="minMax"/>
          <c:min val="0"/>
        </c:scaling>
        <c:delete val="1"/>
        <c:axPos val="l"/>
        <c:numFmt formatCode="#,##0.00" sourceLinked="0"/>
        <c:majorTickMark val="none"/>
        <c:minorTickMark val="none"/>
        <c:tickLblPos val="none"/>
        <c:crossAx val="3153909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СН Вещ</c:v>
                </c:pt>
                <c:pt idx="1">
                  <c:v>СН ОС</c:v>
                </c:pt>
                <c:pt idx="2">
                  <c:v>СН почты</c:v>
                </c:pt>
                <c:pt idx="3">
                  <c:v>СН СМИ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</c:v>
                </c:pt>
                <c:pt idx="2">
                  <c:v>2</c:v>
                </c:pt>
                <c:pt idx="3">
                  <c:v>45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СН Вещ</c:v>
                </c:pt>
                <c:pt idx="1">
                  <c:v>СН ОС</c:v>
                </c:pt>
                <c:pt idx="2">
                  <c:v>СН почты</c:v>
                </c:pt>
                <c:pt idx="3">
                  <c:v>СН СМИ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</c:v>
                </c:pt>
                <c:pt idx="2">
                  <c:v>4</c:v>
                </c:pt>
                <c:pt idx="3">
                  <c:v>84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5387904"/>
        <c:axId val="174450368"/>
        <c:axId val="0"/>
      </c:bar3DChart>
      <c:catAx>
        <c:axId val="315387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4450368"/>
        <c:crosses val="autoZero"/>
        <c:auto val="1"/>
        <c:lblAlgn val="ctr"/>
        <c:lblOffset val="100"/>
        <c:noMultiLvlLbl val="1"/>
      </c:catAx>
      <c:valAx>
        <c:axId val="174450368"/>
        <c:scaling>
          <c:orientation val="minMax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crossAx val="3153879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7.3578302712160856E-2"/>
          <c:y val="4.3650793650793732E-2"/>
          <c:w val="0.80064377369495665"/>
          <c:h val="0.73199725034371677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протоколов</c:v>
                </c:pt>
                <c:pt idx="1">
                  <c:v>Количество предписаний</c:v>
                </c:pt>
                <c:pt idx="2">
                  <c:v>Количество нарушений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2.3226353925741478E-2"/>
                  <c:y val="-6.790125767030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84235950494238E-2"/>
                  <c:y val="-1.3580251534060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22823966996231E-2"/>
                  <c:y val="-6.790125767030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протоколов</c:v>
                </c:pt>
                <c:pt idx="1">
                  <c:v>Количество предписаний</c:v>
                </c:pt>
                <c:pt idx="2">
                  <c:v>Количество нарушений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14</c:v>
                </c:pt>
                <c:pt idx="2">
                  <c:v>49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8889344"/>
        <c:axId val="174452096"/>
        <c:axId val="0"/>
      </c:bar3DChart>
      <c:catAx>
        <c:axId val="328889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4452096"/>
        <c:crosses val="autoZero"/>
        <c:auto val="1"/>
        <c:lblAlgn val="ctr"/>
        <c:lblOffset val="100"/>
        <c:noMultiLvlLbl val="1"/>
      </c:catAx>
      <c:valAx>
        <c:axId val="174452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28889344"/>
        <c:crosses val="autoZero"/>
        <c:crossBetween val="between"/>
      </c:valAx>
      <c:spPr>
        <a:ln>
          <a:noFill/>
        </a:ln>
      </c:spPr>
    </c:plotArea>
    <c:legend>
      <c:legendPos val="r"/>
      <c:layout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Выданные предписания за 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202</a:t>
            </a:r>
            <a:r>
              <a:rPr lang="en-US"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3 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год</a:t>
            </a:r>
            <a:endParaRPr lang="ru-RU" sz="1400"/>
          </a:p>
        </c:rich>
      </c:tx>
      <c:layout>
        <c:manualLayout>
          <c:xMode val="edge"/>
          <c:yMode val="edge"/>
          <c:x val="0.22672804574492791"/>
          <c:y val="1.297454601028802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59080032372715"/>
          <c:y val="0.12103659458762461"/>
          <c:w val="0.32238777621101533"/>
          <c:h val="0.745776904671314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Выданные предписания за первый квартал 2018г.</c:v>
                </c:pt>
              </c:strCache>
            </c:strRef>
          </c:tx>
          <c:explosion val="4"/>
          <c:dLbls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29-4548-99CA-896A3D1FBB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Обработка персональных данных</c:v>
                </c:pt>
                <c:pt idx="1">
                  <c:v>Услуги связи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29-4548-99CA-896A3D1FB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3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00"/>
            </a:pPr>
            <a:endParaRPr lang="ru-RU"/>
          </a:p>
        </c:txPr>
      </c:legendEntry>
      <c:layout>
        <c:manualLayout>
          <c:xMode val="edge"/>
          <c:yMode val="edge"/>
          <c:x val="0.48862639279719738"/>
          <c:y val="0.33395605847619925"/>
          <c:w val="0.51027991171983222"/>
          <c:h val="0.27222229297639272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Pt>
            <c:idx val="0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ECB-4FA3-AF78-14B1A6E696BE}"/>
              </c:ext>
            </c:extLst>
          </c:dPt>
          <c:dPt>
            <c:idx val="1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ECB-4FA3-AF78-14B1A6E696B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Протоколов</c:v>
                </c:pt>
                <c:pt idx="1">
                  <c:v>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35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2-4ECB-4FA3-AF78-14B1A6E696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Протоколов</c:v>
                </c:pt>
                <c:pt idx="1">
                  <c:v>Нарушений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25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 xmlns:c16r2="http://schemas.microsoft.com/office/drawing/2015/06/chart">
            <c:ext xmlns:c16="http://schemas.microsoft.com/office/drawing/2014/chart" uri="{C3380CC4-5D6E-409C-BE32-E72D297353CC}">
              <c16:uniqueId val="{00000003-4ECB-4FA3-AF78-14B1A6E696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28665088"/>
        <c:axId val="174454976"/>
        <c:axId val="0"/>
      </c:bar3DChart>
      <c:catAx>
        <c:axId val="328665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4454976"/>
        <c:crosses val="autoZero"/>
        <c:auto val="1"/>
        <c:lblAlgn val="ctr"/>
        <c:lblOffset val="100"/>
        <c:noMultiLvlLbl val="1"/>
      </c:catAx>
      <c:valAx>
        <c:axId val="174454976"/>
        <c:scaling>
          <c:orientation val="minMax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crossAx val="3286650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3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Зеева Татьяна Ивановна</dc:creator>
  <cp:lastModifiedBy>Зеева Татьяна Ивановна</cp:lastModifiedBy>
  <cp:revision>1</cp:revision>
  <dcterms:created xsi:type="dcterms:W3CDTF">2023-05-03T09:38:00Z</dcterms:created>
  <dcterms:modified xsi:type="dcterms:W3CDTF">2023-05-03T09:39:00Z</dcterms:modified>
</cp:coreProperties>
</file>