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Минцифры России от 10.11.2021 N 1164</w:t>
              <w:br/>
              <w:t xml:space="preserve">"Об утверждении Порядка и Формы представления сведений о базе расчета обязательных отчислений (неналоговых платежей) в резерв универсального обслуживания"</w:t>
              <w:br/>
              <w:t xml:space="preserve">(Зарегистрировано в Минюсте России 25.03.2022 N 67901)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15.01.2014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марта 2022 г. N 67901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ноября 2021 г. N 1164</w:t>
      </w:r>
    </w:p>
    <w:p>
      <w:pPr>
        <w:pStyle w:val="2"/>
        <w:jc w:val="center"/>
      </w:pPr>
      <w:r>
        <w:rPr>
          <w:sz w:val="20"/>
        </w:rPr>
      </w:r>
    </w:p>
    <w:p>
      <w:pPr>
        <w:pStyle w:val="2"/>
        <w:jc w:val="center"/>
      </w:pPr>
      <w:r>
        <w:rPr>
          <w:sz w:val="20"/>
        </w:rPr>
        <w:t xml:space="preserve">ОБ УТВЕРЖДЕНИИ ПОРЯДКА И ФОРМЫ ПРЕДСТАВЛЕНИЯ</w:t>
      </w:r>
    </w:p>
    <w:p>
      <w:pPr>
        <w:pStyle w:val="2"/>
        <w:jc w:val="center"/>
      </w:pPr>
      <w:r>
        <w:rPr>
          <w:sz w:val="20"/>
        </w:rPr>
        <w:t xml:space="preserve">СВЕДЕНИЙ О БАЗЕ РАСЧЕТА ОБЯЗАТЕЛЬНЫХ ОТЧИСЛЕНИЙ (НЕНАЛОГОВЫХ</w:t>
      </w:r>
    </w:p>
    <w:p>
      <w:pPr>
        <w:pStyle w:val="2"/>
        <w:jc w:val="center"/>
      </w:pPr>
      <w:r>
        <w:rPr>
          <w:sz w:val="20"/>
        </w:rPr>
        <w:t xml:space="preserve">ПЛАТЕЖЕЙ) В РЕЗЕРВ УНИВЕРСАЛЬНОГО ОБСЛУЖИВАНИЯ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sz w:val="20"/>
            <w:color w:val="0000ff"/>
          </w:rPr>
          <w:t xml:space="preserve">Перечнем</w:t>
        </w:r>
      </w:hyperlink>
      <w:r>
        <w:rPr>
          <w:sz w:val="20"/>
        </w:rPr>
        <w:t xml:space="preserve"> лицензионных требований, обязательных для соблюдения при осуществлении деятельности в области оказания услуг связи, являющимся приложением N 2 к Положению о лицензировании деятельности в области оказания услуг связи, утвержденному постановлением Правительства Российской Федерации от 30.12.2020 N 2385 "О лицензировании деятельности в области оказания услуг связи и признании утратившими силу некоторых актов Правительства Российской Федерации" (Собрание законодательства Российской Федерации, 2021, N 2, ст. 435; 2021, N 4, ст. 687), и </w:t>
      </w:r>
      <w:hyperlink w:history="0" r:id="rId8" w:tooltip="Постановление Правительства РФ от 02.06.2008 N 418 (ред. от 20.07.2022) &quot;О Министерстве цифрового развития, связи и массовых коммуникаций Российской Федерации&quot; {КонсультантПлюс}">
        <w:r>
          <w:rPr>
            <w:sz w:val="20"/>
            <w:color w:val="0000ff"/>
          </w:rPr>
          <w:t xml:space="preserve">пунктом 1</w:t>
        </w:r>
      </w:hyperlink>
      <w:r>
        <w:rPr>
          <w:sz w:val="20"/>
        </w:rPr>
        <w:t xml:space="preserve">, </w:t>
      </w:r>
      <w:hyperlink w:history="0" r:id="rId9" w:tooltip="Постановление Правительства РФ от 02.06.2008 N 418 (ред. от 20.07.2022) &quot;О Министерстве цифрового развития, связи и массовых коммуникаций Российской Федерации&quot; {КонсультантПлюс}">
        <w:r>
          <w:rPr>
            <w:sz w:val="20"/>
            <w:color w:val="0000ff"/>
          </w:rPr>
          <w:t xml:space="preserve">подпунктами 5.2.57</w:t>
        </w:r>
      </w:hyperlink>
      <w:r>
        <w:rPr>
          <w:sz w:val="20"/>
        </w:rPr>
        <w:t xml:space="preserve">, </w:t>
      </w:r>
      <w:hyperlink w:history="0" r:id="rId10" w:tooltip="Постановление Правительства РФ от 02.06.2008 N 418 (ред. от 20.07.2022) &quot;О Министерстве цифрового развития, связи и массовых коммуникаций Российской Федерации&quot; {КонсультантПлюс}">
        <w:r>
          <w:rPr>
            <w:sz w:val="20"/>
            <w:color w:val="0000ff"/>
          </w:rPr>
          <w:t xml:space="preserve">5.29 пункта 5</w:t>
        </w:r>
      </w:hyperlink>
      <w:r>
        <w:rPr>
          <w:sz w:val="20"/>
        </w:rP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40, ст. 6867),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Порядок представления сведений о базе расчета обязательных отчислений (неналоговых платежей) в резерв универсального обслуживания (далее - Порядок) в соответствии с </w:t>
      </w:r>
      <w:hyperlink w:history="0" w:anchor="P39" w:tooltip="ПОРЯДОК">
        <w:r>
          <w:rPr>
            <w:sz w:val="20"/>
            <w:color w:val="0000ff"/>
          </w:rPr>
          <w:t xml:space="preserve">приложением N 1</w:t>
        </w:r>
      </w:hyperlink>
      <w:r>
        <w:rPr>
          <w:sz w:val="20"/>
        </w:rPr>
        <w:t xml:space="preserve"> к настоящему приказу;</w:t>
      </w:r>
    </w:p>
    <w:p>
      <w:pPr>
        <w:pStyle w:val="0"/>
        <w:spacing w:before="200" w:line-rule="auto"/>
        <w:ind w:firstLine="540"/>
        <w:jc w:val="both"/>
      </w:pPr>
      <w:r>
        <w:rPr>
          <w:sz w:val="20"/>
        </w:rPr>
        <w:t xml:space="preserve">Форму расчета базы обязательных отчислений (неналоговых платежей) в резерв универсального обслуживания в соответствии с </w:t>
      </w:r>
      <w:hyperlink w:history="0" w:anchor="P93" w:tooltip="Форма расчета">
        <w:r>
          <w:rPr>
            <w:sz w:val="20"/>
            <w:color w:val="0000ff"/>
          </w:rPr>
          <w:t xml:space="preserve">приложением N 2</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Минкомсвязи России от 16.09.2008 N 41 (ред. от 23.07.2015)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оссии 08.10.2008 N 12410)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08.10.2008, регистрационный N 12410);</w:t>
      </w:r>
    </w:p>
    <w:p>
      <w:pPr>
        <w:pStyle w:val="0"/>
        <w:spacing w:before="200" w:line-rule="auto"/>
        <w:ind w:firstLine="540"/>
        <w:jc w:val="both"/>
      </w:pPr>
      <w:hyperlink w:history="0" r:id="rId12" w:tooltip="Приказ Минкомсвязи РФ от 30.06.2009 N 87 &quot;О внесении изменений в Приказ Министерства связи и массовых коммуникаций Российской Федерации от 16.09.2008 N 41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Ф 31.08.2009 N 14672)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30.06.2009 N 87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31.08.2009, регистрационный N 14672);</w:t>
      </w:r>
    </w:p>
    <w:p>
      <w:pPr>
        <w:pStyle w:val="0"/>
        <w:spacing w:before="200" w:line-rule="auto"/>
        <w:ind w:firstLine="540"/>
        <w:jc w:val="both"/>
      </w:pPr>
      <w:hyperlink w:history="0" r:id="rId13" w:tooltip="Приказ Минкомсвязи РФ от 04.05.2010 N 67 &quot;О внесении изменений в Приказ Министерства связи и массовых коммуникаций Российской Федерации от 16.09.2008 N 41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Ф 17.06.2010 N 17582)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04.05.2010 N 67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17.06.2010, регистрационный N 17582);</w:t>
      </w:r>
    </w:p>
    <w:p>
      <w:pPr>
        <w:pStyle w:val="0"/>
        <w:spacing w:before="200" w:line-rule="auto"/>
        <w:ind w:firstLine="540"/>
        <w:jc w:val="both"/>
      </w:pPr>
      <w:hyperlink w:history="0" r:id="rId14" w:tooltip="Приказ Минкомсвязи России от 23.07.2015 N 275 &quot;О внесении изменений в Порядок предоставления сведений о базе расчета обязательных отчислений (неналоговых платежей) в резерв универсального обслуживания, утвержденный приказом Министерства связи и массовых коммуникаций Российской Федерации от 16.09.2008 N 41&quot; (Зарегистрировано в Минюсте России 17.08.2015 N 38559)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23.07.2015 N 275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17.08.2015, регистрационный N 38559).</w:t>
      </w:r>
    </w:p>
    <w:bookmarkStart w:id="23" w:name="P23"/>
    <w:bookmarkEnd w:id="23"/>
    <w:p>
      <w:pPr>
        <w:pStyle w:val="0"/>
        <w:spacing w:before="200" w:line-rule="auto"/>
        <w:ind w:firstLine="540"/>
        <w:jc w:val="both"/>
      </w:pPr>
      <w:r>
        <w:rPr>
          <w:sz w:val="20"/>
        </w:rPr>
        <w:t xml:space="preserve">3. Настоящий приказ вступает в силу с 1 сентября 2022 г., за исключением </w:t>
      </w:r>
      <w:hyperlink w:history="0" w:anchor="P52" w:tooltip="б) посредством единого портала государственных и муниципальных услуг (функций) (далее - Единый портал).">
        <w:r>
          <w:rPr>
            <w:sz w:val="20"/>
            <w:color w:val="0000ff"/>
          </w:rPr>
          <w:t xml:space="preserve">подпункта "б" пункта 2.1</w:t>
        </w:r>
      </w:hyperlink>
      <w:r>
        <w:rPr>
          <w:sz w:val="20"/>
        </w:rPr>
        <w:t xml:space="preserve"> Порядка, который вступает в силу с 1 марта 2026 г., и действует в течение шести лет.</w:t>
      </w:r>
    </w:p>
    <w:p>
      <w:pPr>
        <w:pStyle w:val="0"/>
        <w:jc w:val="both"/>
      </w:pPr>
      <w:r>
        <w:rPr>
          <w:sz w:val="20"/>
        </w:rPr>
      </w:r>
    </w:p>
    <w:p>
      <w:pPr>
        <w:pStyle w:val="0"/>
        <w:jc w:val="right"/>
      </w:pPr>
      <w:r>
        <w:rPr>
          <w:sz w:val="20"/>
        </w:rPr>
        <w:t xml:space="preserve">Министр</w:t>
      </w:r>
    </w:p>
    <w:p>
      <w:pPr>
        <w:pStyle w:val="0"/>
        <w:jc w:val="right"/>
      </w:pPr>
      <w:r>
        <w:rPr>
          <w:sz w:val="20"/>
        </w:rPr>
        <w:t xml:space="preserve">М.И.ШАДАЕВ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w:t>
      </w:r>
    </w:p>
    <w:p>
      <w:pPr>
        <w:pStyle w:val="0"/>
        <w:jc w:val="right"/>
      </w:pPr>
      <w:r>
        <w:rPr>
          <w:sz w:val="20"/>
        </w:rPr>
        <w:t xml:space="preserve">цифрового развития,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от 10.11.2021 N 1164</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ПРЕДСТАВЛЕНИЯ СВЕДЕНИЙ О БАЗЕ РАСЧЕТА ОБЯЗАТЕЛЬНЫХ</w:t>
      </w:r>
    </w:p>
    <w:p>
      <w:pPr>
        <w:pStyle w:val="2"/>
        <w:jc w:val="center"/>
      </w:pPr>
      <w:r>
        <w:rPr>
          <w:sz w:val="20"/>
        </w:rPr>
        <w:t xml:space="preserve">ОТЧИСЛЕНИЙ (НЕНАЛОГОВЫХ ПЛАТЕЖЕЙ) В РЕЗЕРВ</w:t>
      </w:r>
    </w:p>
    <w:p>
      <w:pPr>
        <w:pStyle w:val="2"/>
        <w:jc w:val="center"/>
      </w:pPr>
      <w:r>
        <w:rPr>
          <w:sz w:val="20"/>
        </w:rPr>
        <w:t xml:space="preserve">УНИВЕРСАЛЬНОГО ОБСЛУЖИВАНИЯ</w:t>
      </w:r>
    </w:p>
    <w:p>
      <w:pPr>
        <w:pStyle w:val="0"/>
        <w:jc w:val="both"/>
      </w:pPr>
      <w:r>
        <w:rPr>
          <w:sz w:val="20"/>
        </w:rPr>
      </w:r>
    </w:p>
    <w:p>
      <w:pPr>
        <w:pStyle w:val="0"/>
        <w:ind w:firstLine="540"/>
        <w:jc w:val="both"/>
      </w:pPr>
      <w:r>
        <w:rPr>
          <w:sz w:val="20"/>
        </w:rPr>
        <w:t xml:space="preserve">1.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Министерство цифрового развития, связи и массовых коммуникаций Российской Федерации (далее - Министерство) сведения о базе расчета обязательных отчислений (неналоговых платежей) в резерв универсального обслуживания (далее - Сведения) по форме, утвержденной </w:t>
      </w:r>
      <w:hyperlink w:history="0" w:anchor="P93" w:tooltip="Форма расчета">
        <w:r>
          <w:rPr>
            <w:sz w:val="20"/>
            <w:color w:val="0000ff"/>
          </w:rPr>
          <w:t xml:space="preserve">приложением N 2</w:t>
        </w:r>
      </w:hyperlink>
      <w:r>
        <w:rPr>
          <w:sz w:val="20"/>
        </w:rPr>
        <w:t xml:space="preserve"> к настоящему приказу (далее - Форма).</w:t>
      </w:r>
    </w:p>
    <w:p>
      <w:pPr>
        <w:pStyle w:val="0"/>
        <w:spacing w:before="200" w:line-rule="auto"/>
        <w:ind w:firstLine="540"/>
        <w:jc w:val="both"/>
      </w:pPr>
      <w:r>
        <w:rPr>
          <w:sz w:val="20"/>
        </w:rPr>
        <w:t xml:space="preserve">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w:t>
      </w:r>
    </w:p>
    <w:p>
      <w:pPr>
        <w:pStyle w:val="0"/>
        <w:spacing w:before="200" w:line-rule="auto"/>
        <w:ind w:firstLine="540"/>
        <w:jc w:val="both"/>
      </w:pPr>
      <w:r>
        <w:rPr>
          <w:sz w:val="20"/>
        </w:rPr>
        <w:t xml:space="preserve">Отсчет кварталов идет с начала календарного года.</w:t>
      </w:r>
    </w:p>
    <w:p>
      <w:pPr>
        <w:pStyle w:val="0"/>
        <w:spacing w:before="200" w:line-rule="auto"/>
        <w:ind w:firstLine="540"/>
        <w:jc w:val="both"/>
      </w:pPr>
      <w:r>
        <w:rPr>
          <w:sz w:val="20"/>
        </w:rPr>
        <w:t xml:space="preserve">2. Сведения направляются в Министерство в следующем порядке:</w:t>
      </w:r>
    </w:p>
    <w:p>
      <w:pPr>
        <w:pStyle w:val="0"/>
        <w:spacing w:before="200" w:line-rule="auto"/>
        <w:ind w:firstLine="540"/>
        <w:jc w:val="both"/>
      </w:pPr>
      <w:r>
        <w:rPr>
          <w:sz w:val="20"/>
        </w:rPr>
        <w:t xml:space="preserve">2.1. Операторы связи направляют Сведения в электронной форме:</w:t>
      </w:r>
    </w:p>
    <w:p>
      <w:pPr>
        <w:pStyle w:val="0"/>
        <w:spacing w:before="200" w:line-rule="auto"/>
        <w:ind w:firstLine="540"/>
        <w:jc w:val="both"/>
      </w:pPr>
      <w:r>
        <w:rPr>
          <w:sz w:val="20"/>
        </w:rPr>
        <w:t xml:space="preserve">а) через раздел "Личный кабинет оператора связи" на официальном сайте Министерства в информационно-телекоммуникационной сети "Интернет" (http://lk.digital.gov.ru) (далее - Личный кабинет);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"б" п. 2.1 </w:t>
            </w:r>
            <w:hyperlink w:history="0" w:anchor="P23" w:tooltip="3. Настоящий приказ вступает в силу с 1 сентября 2022 г., за исключением подпункта &quot;б&quot; пункта 2.1 Порядка, который вступает в силу с 1 марта 2026 г., и действует в течение шести лет.">
              <w:r>
                <w:rPr>
                  <w:sz w:val="20"/>
                  <w:color w:val="0000ff"/>
                </w:rPr>
                <w:t xml:space="preserve">вступает</w:t>
              </w:r>
            </w:hyperlink>
            <w:r>
              <w:rPr>
                <w:sz w:val="20"/>
                <w:color w:val="392c69"/>
              </w:rPr>
              <w:t xml:space="preserve"> в силу с 01.03.2026.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 w:name="P52"/>
    <w:bookmarkEnd w:id="52"/>
    <w:p>
      <w:pPr>
        <w:pStyle w:val="0"/>
        <w:spacing w:before="260" w:line-rule="auto"/>
        <w:ind w:firstLine="540"/>
        <w:jc w:val="both"/>
      </w:pPr>
      <w:r>
        <w:rPr>
          <w:sz w:val="20"/>
        </w:rPr>
        <w:t xml:space="preserve">б) посредством единого портала государственных и муниципальных услуг (функций) (далее - Единый портал).</w:t>
      </w:r>
    </w:p>
    <w:p>
      <w:pPr>
        <w:pStyle w:val="0"/>
        <w:spacing w:before="200" w:line-rule="auto"/>
        <w:ind w:firstLine="540"/>
        <w:jc w:val="both"/>
      </w:pPr>
      <w:r>
        <w:rPr>
          <w:sz w:val="20"/>
        </w:rPr>
        <w:t xml:space="preserve">Регистрация и авторизация лицензиата в Личном кабинете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2.2. Сведения, направляемые через Личный кабинет или Единый портал, подписываются усиленной квалифицированной электронной подписью или усиленной неквалифицированной электронной подписью лицензиата - индивидуального предпринимателя,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0"/>
        <w:spacing w:before="200" w:line-rule="auto"/>
        <w:ind w:firstLine="540"/>
        <w:jc w:val="both"/>
      </w:pPr>
      <w:r>
        <w:rPr>
          <w:sz w:val="20"/>
        </w:rPr>
        <w:t xml:space="preserve">3. Оператор связи, деятельность которого по оказанию услуг связи осуществлялась неполный отчетный период, представляет Сведения за тот период времени, в течение которого эта деятельность осуществлялась.</w:t>
      </w:r>
    </w:p>
    <w:p>
      <w:pPr>
        <w:pStyle w:val="0"/>
        <w:spacing w:before="200" w:line-rule="auto"/>
        <w:ind w:firstLine="540"/>
        <w:jc w:val="both"/>
      </w:pPr>
      <w:r>
        <w:rPr>
          <w:sz w:val="20"/>
        </w:rPr>
        <w:t xml:space="preserve">4. </w:t>
      </w:r>
      <w:hyperlink w:history="0" w:anchor="P93" w:tooltip="Форма расчета">
        <w:r>
          <w:rPr>
            <w:sz w:val="20"/>
            <w:color w:val="0000ff"/>
          </w:rPr>
          <w:t xml:space="preserve">Форма</w:t>
        </w:r>
      </w:hyperlink>
      <w:r>
        <w:rPr>
          <w:sz w:val="20"/>
        </w:rPr>
        <w:t xml:space="preserve"> заполняется на основании данных бухгалтерского учета, данных автоматизированных систем расчетов, актов выполненных работ (оказанных услуг) и первичных учетных документов.</w:t>
      </w:r>
    </w:p>
    <w:p>
      <w:pPr>
        <w:pStyle w:val="0"/>
        <w:spacing w:before="200" w:line-rule="auto"/>
        <w:ind w:firstLine="540"/>
        <w:jc w:val="both"/>
      </w:pPr>
      <w:r>
        <w:rPr>
          <w:sz w:val="20"/>
        </w:rPr>
        <w:t xml:space="preserve">5. Заголовочная часть </w:t>
      </w:r>
      <w:hyperlink w:history="0" w:anchor="P93" w:tooltip="Форма расчета">
        <w:r>
          <w:rPr>
            <w:sz w:val="20"/>
            <w:color w:val="0000ff"/>
          </w:rPr>
          <w:t xml:space="preserve">Формы</w:t>
        </w:r>
      </w:hyperlink>
      <w:r>
        <w:rPr>
          <w:sz w:val="20"/>
        </w:rPr>
        <w:t xml:space="preserve"> заполняется в следующем порядке.</w:t>
      </w:r>
    </w:p>
    <w:p>
      <w:pPr>
        <w:pStyle w:val="0"/>
        <w:spacing w:before="200" w:line-rule="auto"/>
        <w:ind w:firstLine="540"/>
        <w:jc w:val="both"/>
      </w:pPr>
      <w:r>
        <w:rPr>
          <w:sz w:val="20"/>
        </w:rPr>
        <w:t xml:space="preserve">В </w:t>
      </w:r>
      <w:hyperlink w:history="0" w:anchor="P99" w:tooltip="│ 1  │Вид документа: первичный │ │ корректирующий │ │   (нужное отметить  │">
        <w:r>
          <w:rPr>
            <w:sz w:val="20"/>
            <w:color w:val="0000ff"/>
          </w:rPr>
          <w:t xml:space="preserve">реквизите</w:t>
        </w:r>
      </w:hyperlink>
      <w:r>
        <w:rPr>
          <w:sz w:val="20"/>
        </w:rPr>
        <w:t xml:space="preserve"> "Вид документа" ставится знак "V" в поле "первичный", если Сведения представляются впервые за отчетный период. В случае представления корректирующих Сведений взамен ранее представленных знак "V" ставится в поле "корректирующий".</w:t>
      </w:r>
    </w:p>
    <w:p>
      <w:pPr>
        <w:pStyle w:val="0"/>
        <w:spacing w:before="200" w:line-rule="auto"/>
        <w:ind w:firstLine="540"/>
        <w:jc w:val="both"/>
      </w:pPr>
      <w:r>
        <w:rPr>
          <w:sz w:val="20"/>
        </w:rPr>
        <w:t xml:space="preserve">В </w:t>
      </w:r>
      <w:hyperlink w:history="0" w:anchor="P110" w:tooltip="│ 4  │Наименование организации:                                           │">
        <w:r>
          <w:rPr>
            <w:sz w:val="20"/>
            <w:color w:val="0000ff"/>
          </w:rPr>
          <w:t xml:space="preserve">реквизите</w:t>
        </w:r>
      </w:hyperlink>
      <w:r>
        <w:rPr>
          <w:sz w:val="20"/>
        </w:rPr>
        <w:t xml:space="preserve"> "Наименование организации" указывается полное наименование в соответствии с учредительными документами, зарегистрированными в установленном порядке.</w:t>
      </w:r>
    </w:p>
    <w:p>
      <w:pPr>
        <w:pStyle w:val="0"/>
        <w:spacing w:before="200" w:line-rule="auto"/>
        <w:ind w:firstLine="540"/>
        <w:jc w:val="both"/>
      </w:pPr>
      <w:r>
        <w:rPr>
          <w:sz w:val="20"/>
        </w:rPr>
        <w:t xml:space="preserve">Индивидуальный предприниматель заполняет </w:t>
      </w:r>
      <w:hyperlink w:history="0" w:anchor="P113" w:tooltip="│ 5  │Фамилия, Имя, Отчество (при наличии) индивидуального                │">
        <w:r>
          <w:rPr>
            <w:sz w:val="20"/>
            <w:color w:val="0000ff"/>
          </w:rPr>
          <w:t xml:space="preserve">реквизит</w:t>
        </w:r>
      </w:hyperlink>
      <w:r>
        <w:rPr>
          <w:sz w:val="20"/>
        </w:rPr>
        <w:t xml:space="preserve"> "Фамилия, Имя, Отчество (при наличии) физического лица".</w:t>
      </w:r>
    </w:p>
    <w:p>
      <w:pPr>
        <w:pStyle w:val="0"/>
        <w:spacing w:before="200" w:line-rule="auto"/>
        <w:ind w:firstLine="540"/>
        <w:jc w:val="both"/>
      </w:pPr>
      <w:r>
        <w:rPr>
          <w:sz w:val="20"/>
        </w:rPr>
        <w:t xml:space="preserve">В </w:t>
      </w:r>
      <w:hyperlink w:history="0" w:anchor="P117" w:tooltip="│ 6  │Место нахождения юридического лица, адрес регистрации гражданина:   │">
        <w:r>
          <w:rPr>
            <w:sz w:val="20"/>
            <w:color w:val="0000ff"/>
          </w:rPr>
          <w:t xml:space="preserve">реквизите</w:t>
        </w:r>
      </w:hyperlink>
      <w:r>
        <w:rPr>
          <w:sz w:val="20"/>
        </w:rPr>
        <w:t xml:space="preserve"> "Место нахождения юридического лица, адрес регистрации гражданина" указывается адрес юридического лица, указанный в едином государственном реестре юридических лиц, адрес регистрации гражданина.</w:t>
      </w:r>
    </w:p>
    <w:p>
      <w:pPr>
        <w:pStyle w:val="0"/>
        <w:spacing w:before="200" w:line-rule="auto"/>
        <w:ind w:firstLine="540"/>
        <w:jc w:val="both"/>
      </w:pPr>
      <w:r>
        <w:rPr>
          <w:sz w:val="20"/>
        </w:rPr>
        <w:t xml:space="preserve">В </w:t>
      </w:r>
      <w:hyperlink w:history="0" w:anchor="P120" w:tooltip="│ 7  │Код города и номер контактного телефона:   _________________________│">
        <w:r>
          <w:rPr>
            <w:sz w:val="20"/>
            <w:color w:val="0000ff"/>
          </w:rPr>
          <w:t xml:space="preserve">реквизите</w:t>
        </w:r>
      </w:hyperlink>
      <w:r>
        <w:rPr>
          <w:sz w:val="20"/>
        </w:rPr>
        <w:t xml:space="preserve"> "Номер контактного телефона" указывается номер телефона лица, ответственного за представление Сведений, включая междугородний код населенного пункта.</w:t>
      </w:r>
    </w:p>
    <w:p>
      <w:pPr>
        <w:pStyle w:val="0"/>
        <w:spacing w:before="200" w:line-rule="auto"/>
        <w:ind w:firstLine="540"/>
        <w:jc w:val="both"/>
      </w:pPr>
      <w:r>
        <w:rPr>
          <w:sz w:val="20"/>
        </w:rPr>
        <w:t xml:space="preserve">6. Показатель по </w:t>
      </w:r>
      <w:hyperlink w:history="0" w:anchor="P197" w:tooltip="010">
        <w:r>
          <w:rPr>
            <w:sz w:val="20"/>
            <w:color w:val="0000ff"/>
          </w:rPr>
          <w:t xml:space="preserve">строке 010</w:t>
        </w:r>
      </w:hyperlink>
      <w:r>
        <w:rPr>
          <w:sz w:val="20"/>
        </w:rPr>
        <w:t xml:space="preserve"> должен содержать данные о выручке (нетто) от продажи товаров, продукции, работ, услуг (без учета налога на добавленную стоимость, акцизов и других обязательных платежей).</w:t>
      </w:r>
    </w:p>
    <w:p>
      <w:pPr>
        <w:pStyle w:val="0"/>
        <w:spacing w:before="200" w:line-rule="auto"/>
        <w:ind w:firstLine="540"/>
        <w:jc w:val="both"/>
      </w:pPr>
      <w:r>
        <w:rPr>
          <w:sz w:val="20"/>
        </w:rPr>
        <w:t xml:space="preserve">В </w:t>
      </w:r>
      <w:hyperlink w:history="0" w:anchor="P200" w:tooltip="030">
        <w:r>
          <w:rPr>
            <w:sz w:val="20"/>
            <w:color w:val="0000ff"/>
          </w:rPr>
          <w:t xml:space="preserve">строках 030</w:t>
        </w:r>
      </w:hyperlink>
      <w:r>
        <w:rPr>
          <w:sz w:val="20"/>
        </w:rPr>
        <w:t xml:space="preserve"> и </w:t>
      </w:r>
      <w:hyperlink w:history="0" w:anchor="P203" w:tooltip="040">
        <w:r>
          <w:rPr>
            <w:sz w:val="20"/>
            <w:color w:val="0000ff"/>
          </w:rPr>
          <w:t xml:space="preserve">040</w:t>
        </w:r>
      </w:hyperlink>
      <w:r>
        <w:rPr>
          <w:sz w:val="20"/>
        </w:rPr>
        <w:t xml:space="preserve"> указываются доходы, полученные от оказания услуг присоединения, услуг по пропуску трафика.</w:t>
      </w:r>
    </w:p>
    <w:p>
      <w:pPr>
        <w:pStyle w:val="0"/>
        <w:spacing w:before="200" w:line-rule="auto"/>
        <w:ind w:firstLine="540"/>
        <w:jc w:val="both"/>
      </w:pPr>
      <w:r>
        <w:rPr>
          <w:sz w:val="20"/>
        </w:rPr>
        <w:t xml:space="preserve">В </w:t>
      </w:r>
      <w:hyperlink w:history="0" w:anchor="P206" w:tooltip="050">
        <w:r>
          <w:rPr>
            <w:sz w:val="20"/>
            <w:color w:val="0000ff"/>
          </w:rPr>
          <w:t xml:space="preserve">строке 050</w:t>
        </w:r>
      </w:hyperlink>
      <w:r>
        <w:rPr>
          <w:sz w:val="20"/>
        </w:rPr>
        <w:t xml:space="preserve"> указывается сумма доходов, полученных от оказания услуг связи абонентам и иным пользователям в сети связи общего пользования.</w:t>
      </w:r>
    </w:p>
    <w:p>
      <w:pPr>
        <w:pStyle w:val="0"/>
        <w:spacing w:before="200" w:line-rule="auto"/>
        <w:ind w:firstLine="540"/>
        <w:jc w:val="both"/>
      </w:pPr>
      <w:r>
        <w:rPr>
          <w:sz w:val="20"/>
        </w:rPr>
        <w:t xml:space="preserve">В </w:t>
      </w:r>
      <w:hyperlink w:history="0" w:anchor="P209" w:tooltip="051">
        <w:r>
          <w:rPr>
            <w:sz w:val="20"/>
            <w:color w:val="0000ff"/>
          </w:rPr>
          <w:t xml:space="preserve">строках 051</w:t>
        </w:r>
      </w:hyperlink>
      <w:r>
        <w:rPr>
          <w:sz w:val="20"/>
        </w:rPr>
        <w:t xml:space="preserve"> - </w:t>
      </w:r>
      <w:hyperlink w:history="0" w:anchor="P257" w:tooltip="067">
        <w:r>
          <w:rPr>
            <w:sz w:val="20"/>
            <w:color w:val="0000ff"/>
          </w:rPr>
          <w:t xml:space="preserve">067</w:t>
        </w:r>
      </w:hyperlink>
      <w:r>
        <w:rPr>
          <w:sz w:val="20"/>
        </w:rPr>
        <w:t xml:space="preserve"> указываются доходы от оказания услуг абонентам (пользователям) в сети связи общего пользования на основании соответствующих лицензий. В указанные доходы не включаются доходы от выполнения работ и оказания услуг, сопутствующих оказанию услуг связи и технологически неразрывно связанных с услугами связи.</w:t>
      </w:r>
    </w:p>
    <w:p>
      <w:pPr>
        <w:pStyle w:val="0"/>
        <w:spacing w:before="200" w:line-rule="auto"/>
        <w:ind w:firstLine="540"/>
        <w:jc w:val="both"/>
      </w:pPr>
      <w:r>
        <w:rPr>
          <w:sz w:val="20"/>
        </w:rPr>
        <w:t xml:space="preserve">Доходы от предоставления услуг, сопутствующих оказанию услуг связи и технологически неразрывно связанных с услугами связи, отражаются по </w:t>
      </w:r>
      <w:hyperlink w:history="0" w:anchor="P260" w:tooltip="090">
        <w:r>
          <w:rPr>
            <w:sz w:val="20"/>
            <w:color w:val="0000ff"/>
          </w:rPr>
          <w:t xml:space="preserve">строке 090</w:t>
        </w:r>
      </w:hyperlink>
      <w:r>
        <w:rPr>
          <w:sz w:val="20"/>
        </w:rPr>
        <w:t xml:space="preserve">.</w:t>
      </w:r>
    </w:p>
    <w:p>
      <w:pPr>
        <w:pStyle w:val="0"/>
        <w:spacing w:before="200" w:line-rule="auto"/>
        <w:ind w:firstLine="540"/>
        <w:jc w:val="both"/>
      </w:pPr>
      <w:r>
        <w:rPr>
          <w:sz w:val="20"/>
        </w:rPr>
        <w:t xml:space="preserve">В </w:t>
      </w:r>
      <w:hyperlink w:history="0" w:anchor="P209" w:tooltip="051">
        <w:r>
          <w:rPr>
            <w:sz w:val="20"/>
            <w:color w:val="0000ff"/>
          </w:rPr>
          <w:t xml:space="preserve">строке 051</w:t>
        </w:r>
      </w:hyperlink>
      <w:r>
        <w:rPr>
          <w:sz w:val="20"/>
        </w:rPr>
        <w:t xml:space="preserve"> указывается сумма доходов от предоставления доступа к сети местной телефонной связи независимо от типа абонентской линии (проводная линия или радиолиния) сети фиксированной телефонной связи, предоставления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и предоставления абоненту в постоянное пользование абонентской линии независимо от ее типа.</w:t>
      </w:r>
    </w:p>
    <w:p>
      <w:pPr>
        <w:pStyle w:val="0"/>
        <w:spacing w:before="200" w:line-rule="auto"/>
        <w:ind w:firstLine="540"/>
        <w:jc w:val="both"/>
      </w:pPr>
      <w:r>
        <w:rPr>
          <w:sz w:val="20"/>
        </w:rPr>
        <w:t xml:space="preserve">В </w:t>
      </w:r>
      <w:hyperlink w:history="0" w:anchor="P260" w:tooltip="090">
        <w:r>
          <w:rPr>
            <w:sz w:val="20"/>
            <w:color w:val="0000ff"/>
          </w:rPr>
          <w:t xml:space="preserve">строке 090</w:t>
        </w:r>
      </w:hyperlink>
      <w:r>
        <w:rPr>
          <w:sz w:val="20"/>
        </w:rPr>
        <w:t xml:space="preserve"> указываются доходы от продажи товаров, продукции, выполнения работ, оказания услуг, деятельность по оказанию которых не подлежит лицензированию в соответствии с законодательством в области связи.</w:t>
      </w:r>
    </w:p>
    <w:p>
      <w:pPr>
        <w:pStyle w:val="0"/>
        <w:spacing w:before="200" w:line-rule="auto"/>
        <w:ind w:firstLine="540"/>
        <w:jc w:val="both"/>
      </w:pPr>
      <w:r>
        <w:rPr>
          <w:sz w:val="20"/>
        </w:rPr>
        <w:t xml:space="preserve">В </w:t>
      </w:r>
      <w:hyperlink w:history="0" w:anchor="P263" w:tooltip="100">
        <w:r>
          <w:rPr>
            <w:sz w:val="20"/>
            <w:color w:val="0000ff"/>
          </w:rPr>
          <w:t xml:space="preserve">строке 100</w:t>
        </w:r>
      </w:hyperlink>
      <w:r>
        <w:rPr>
          <w:sz w:val="20"/>
        </w:rPr>
        <w:t xml:space="preserve"> указывается ставка отчислений в резерв универсального обслуживания.</w:t>
      </w:r>
    </w:p>
    <w:p>
      <w:pPr>
        <w:pStyle w:val="0"/>
        <w:spacing w:before="200" w:line-rule="auto"/>
        <w:ind w:firstLine="540"/>
        <w:jc w:val="both"/>
      </w:pPr>
      <w:r>
        <w:rPr>
          <w:sz w:val="20"/>
        </w:rPr>
        <w:t xml:space="preserve">В </w:t>
      </w:r>
      <w:hyperlink w:history="0" w:anchor="P266" w:tooltip="110">
        <w:r>
          <w:rPr>
            <w:sz w:val="20"/>
            <w:color w:val="0000ff"/>
          </w:rPr>
          <w:t xml:space="preserve">строке 110</w:t>
        </w:r>
      </w:hyperlink>
      <w:r>
        <w:rPr>
          <w:sz w:val="20"/>
        </w:rPr>
        <w:t xml:space="preserve"> отражается произведение показателя </w:t>
      </w:r>
      <w:hyperlink w:history="0" w:anchor="P206" w:tooltip="050">
        <w:r>
          <w:rPr>
            <w:sz w:val="20"/>
            <w:color w:val="0000ff"/>
          </w:rPr>
          <w:t xml:space="preserve">строки 050</w:t>
        </w:r>
      </w:hyperlink>
      <w:r>
        <w:rPr>
          <w:sz w:val="20"/>
        </w:rPr>
        <w:t xml:space="preserve"> на показатель </w:t>
      </w:r>
      <w:hyperlink w:history="0" w:anchor="P263" w:tooltip="100">
        <w:r>
          <w:rPr>
            <w:sz w:val="20"/>
            <w:color w:val="0000ff"/>
          </w:rPr>
          <w:t xml:space="preserve">строки 100</w:t>
        </w:r>
      </w:hyperlink>
      <w:r>
        <w:rPr>
          <w:sz w:val="20"/>
        </w:rPr>
        <w:t xml:space="preserve">.</w:t>
      </w:r>
    </w:p>
    <w:p>
      <w:pPr>
        <w:pStyle w:val="0"/>
        <w:spacing w:before="200" w:line-rule="auto"/>
        <w:ind w:firstLine="540"/>
        <w:jc w:val="both"/>
      </w:pPr>
      <w:hyperlink w:history="0" w:anchor="P269" w:tooltip="120">
        <w:r>
          <w:rPr>
            <w:sz w:val="20"/>
            <w:color w:val="0000ff"/>
          </w:rPr>
          <w:t xml:space="preserve">Строки 120</w:t>
        </w:r>
      </w:hyperlink>
      <w:r>
        <w:rPr>
          <w:sz w:val="20"/>
        </w:rPr>
        <w:t xml:space="preserve">, </w:t>
      </w:r>
      <w:hyperlink w:history="0" w:anchor="P272" w:tooltip="130">
        <w:r>
          <w:rPr>
            <w:sz w:val="20"/>
            <w:color w:val="0000ff"/>
          </w:rPr>
          <w:t xml:space="preserve">130</w:t>
        </w:r>
      </w:hyperlink>
      <w:r>
        <w:rPr>
          <w:sz w:val="20"/>
        </w:rPr>
        <w:t xml:space="preserve"> и </w:t>
      </w:r>
      <w:hyperlink w:history="0" w:anchor="P275" w:tooltip="140">
        <w:r>
          <w:rPr>
            <w:sz w:val="20"/>
            <w:color w:val="0000ff"/>
          </w:rPr>
          <w:t xml:space="preserve">140</w:t>
        </w:r>
      </w:hyperlink>
      <w:r>
        <w:rPr>
          <w:sz w:val="20"/>
        </w:rPr>
        <w:t xml:space="preserve"> заполняются только в первичных Сведениях.</w:t>
      </w:r>
    </w:p>
    <w:p>
      <w:pPr>
        <w:pStyle w:val="0"/>
        <w:spacing w:before="200" w:line-rule="auto"/>
        <w:ind w:firstLine="540"/>
        <w:jc w:val="both"/>
      </w:pPr>
      <w:r>
        <w:rPr>
          <w:sz w:val="20"/>
        </w:rPr>
        <w:t xml:space="preserve">В </w:t>
      </w:r>
      <w:hyperlink w:history="0" w:anchor="P269" w:tooltip="120">
        <w:r>
          <w:rPr>
            <w:sz w:val="20"/>
            <w:color w:val="0000ff"/>
          </w:rPr>
          <w:t xml:space="preserve">строке 120</w:t>
        </w:r>
      </w:hyperlink>
      <w:r>
        <w:rPr>
          <w:sz w:val="20"/>
        </w:rPr>
        <w:t xml:space="preserve"> отражаются изменения, образовавшиеся в результате корректировки данных о доходах за периоды, предшествовавшие отчетному. Данные, указанные по </w:t>
      </w:r>
      <w:hyperlink w:history="0" w:anchor="P269" w:tooltip="120">
        <w:r>
          <w:rPr>
            <w:sz w:val="20"/>
            <w:color w:val="0000ff"/>
          </w:rPr>
          <w:t xml:space="preserve">строке 120</w:t>
        </w:r>
      </w:hyperlink>
      <w:r>
        <w:rPr>
          <w:sz w:val="20"/>
        </w:rPr>
        <w:t xml:space="preserve">, должны быть подтверждены корректирующими Сведениями за периоды, в отношении которых осуществлялась корректировка данных о доходах. Значение показателя по </w:t>
      </w:r>
      <w:hyperlink w:history="0" w:anchor="P269" w:tooltip="120">
        <w:r>
          <w:rPr>
            <w:sz w:val="20"/>
            <w:color w:val="0000ff"/>
          </w:rPr>
          <w:t xml:space="preserve">строке 120</w:t>
        </w:r>
      </w:hyperlink>
      <w:r>
        <w:rPr>
          <w:sz w:val="20"/>
        </w:rPr>
        <w:t xml:space="preserve"> в Сведениях за отчетный период должно равняться сумме показателей по </w:t>
      </w:r>
      <w:hyperlink w:history="0" w:anchor="P281" w:tooltip="210">
        <w:r>
          <w:rPr>
            <w:sz w:val="20"/>
            <w:color w:val="0000ff"/>
          </w:rPr>
          <w:t xml:space="preserve">строке 210</w:t>
        </w:r>
      </w:hyperlink>
      <w:r>
        <w:rPr>
          <w:sz w:val="20"/>
        </w:rPr>
        <w:t xml:space="preserve"> всех корректирующих Сведений за предшествовавшие отчетному периоды, представляемых в приложении к первичным Сведениям.</w:t>
      </w:r>
    </w:p>
    <w:p>
      <w:pPr>
        <w:pStyle w:val="0"/>
        <w:spacing w:before="200" w:line-rule="auto"/>
        <w:ind w:firstLine="540"/>
        <w:jc w:val="both"/>
      </w:pPr>
      <w:r>
        <w:rPr>
          <w:sz w:val="20"/>
        </w:rPr>
        <w:t xml:space="preserve">В </w:t>
      </w:r>
      <w:hyperlink w:history="0" w:anchor="P272" w:tooltip="130">
        <w:r>
          <w:rPr>
            <w:sz w:val="20"/>
            <w:color w:val="0000ff"/>
          </w:rPr>
          <w:t xml:space="preserve">строке 130</w:t>
        </w:r>
      </w:hyperlink>
      <w:r>
        <w:rPr>
          <w:sz w:val="20"/>
        </w:rPr>
        <w:t xml:space="preserve"> указывается сумма задолженности или переплаты денежных средств в резерв универсального обслуживания, образовавшаяся на первый день месяца, следующего за окончанием отчетного периода, и не учитывающая проведение корректирующих расчетов за предыдущие отчетные периоды. Данные указываются без учета изменений, представленных в </w:t>
      </w:r>
      <w:hyperlink w:history="0" w:anchor="P269" w:tooltip="120">
        <w:r>
          <w:rPr>
            <w:sz w:val="20"/>
            <w:color w:val="0000ff"/>
          </w:rPr>
          <w:t xml:space="preserve">строке 120</w:t>
        </w:r>
      </w:hyperlink>
      <w:r>
        <w:rPr>
          <w:sz w:val="20"/>
        </w:rPr>
        <w:t xml:space="preserve">.</w:t>
      </w:r>
    </w:p>
    <w:p>
      <w:pPr>
        <w:pStyle w:val="0"/>
        <w:spacing w:before="200" w:line-rule="auto"/>
        <w:ind w:firstLine="540"/>
        <w:jc w:val="both"/>
      </w:pPr>
      <w:r>
        <w:rPr>
          <w:sz w:val="20"/>
        </w:rPr>
        <w:t xml:space="preserve">Показатель по </w:t>
      </w:r>
      <w:hyperlink w:history="0" w:anchor="P275" w:tooltip="140">
        <w:r>
          <w:rPr>
            <w:sz w:val="20"/>
            <w:color w:val="0000ff"/>
          </w:rPr>
          <w:t xml:space="preserve">строке 140</w:t>
        </w:r>
      </w:hyperlink>
      <w:r>
        <w:rPr>
          <w:sz w:val="20"/>
        </w:rPr>
        <w:t xml:space="preserve"> рассчитывается как сумма показателей по </w:t>
      </w:r>
      <w:hyperlink w:history="0" w:anchor="P266" w:tooltip="110">
        <w:r>
          <w:rPr>
            <w:sz w:val="20"/>
            <w:color w:val="0000ff"/>
          </w:rPr>
          <w:t xml:space="preserve">строкам 110</w:t>
        </w:r>
      </w:hyperlink>
      <w:r>
        <w:rPr>
          <w:sz w:val="20"/>
        </w:rPr>
        <w:t xml:space="preserve">, </w:t>
      </w:r>
      <w:hyperlink w:history="0" w:anchor="P269" w:tooltip="120">
        <w:r>
          <w:rPr>
            <w:sz w:val="20"/>
            <w:color w:val="0000ff"/>
          </w:rPr>
          <w:t xml:space="preserve">120</w:t>
        </w:r>
      </w:hyperlink>
      <w:r>
        <w:rPr>
          <w:sz w:val="20"/>
        </w:rPr>
        <w:t xml:space="preserve"> и </w:t>
      </w:r>
      <w:hyperlink w:history="0" w:anchor="P272" w:tooltip="130">
        <w:r>
          <w:rPr>
            <w:sz w:val="20"/>
            <w:color w:val="0000ff"/>
          </w:rPr>
          <w:t xml:space="preserve">130</w:t>
        </w:r>
      </w:hyperlink>
      <w:r>
        <w:rPr>
          <w:sz w:val="20"/>
        </w:rPr>
        <w:t xml:space="preserve"> и отражает сумму отчислений, подлежащую перечислению в резерв универсального обслуживания.</w:t>
      </w:r>
    </w:p>
    <w:p>
      <w:pPr>
        <w:pStyle w:val="0"/>
        <w:spacing w:before="200" w:line-rule="auto"/>
        <w:ind w:firstLine="540"/>
        <w:jc w:val="both"/>
      </w:pPr>
      <w:r>
        <w:rPr>
          <w:sz w:val="20"/>
        </w:rPr>
        <w:t xml:space="preserve">Показатели по </w:t>
      </w:r>
      <w:hyperlink w:history="0" w:anchor="P278" w:tooltip="200">
        <w:r>
          <w:rPr>
            <w:sz w:val="20"/>
            <w:color w:val="0000ff"/>
          </w:rPr>
          <w:t xml:space="preserve">строкам 200</w:t>
        </w:r>
      </w:hyperlink>
      <w:r>
        <w:rPr>
          <w:sz w:val="20"/>
        </w:rPr>
        <w:t xml:space="preserve"> и </w:t>
      </w:r>
      <w:hyperlink w:history="0" w:anchor="P281" w:tooltip="210">
        <w:r>
          <w:rPr>
            <w:sz w:val="20"/>
            <w:color w:val="0000ff"/>
          </w:rPr>
          <w:t xml:space="preserve">210</w:t>
        </w:r>
      </w:hyperlink>
      <w:r>
        <w:rPr>
          <w:sz w:val="20"/>
        </w:rPr>
        <w:t xml:space="preserve"> заполняются только в Сведениях за периоды, предшествовавшие отчетному.</w:t>
      </w:r>
    </w:p>
    <w:p>
      <w:pPr>
        <w:pStyle w:val="0"/>
        <w:spacing w:before="200" w:line-rule="auto"/>
        <w:ind w:firstLine="540"/>
        <w:jc w:val="both"/>
      </w:pPr>
      <w:r>
        <w:rPr>
          <w:sz w:val="20"/>
        </w:rPr>
        <w:t xml:space="preserve">В </w:t>
      </w:r>
      <w:hyperlink w:history="0" w:anchor="P278" w:tooltip="200">
        <w:r>
          <w:rPr>
            <w:sz w:val="20"/>
            <w:color w:val="0000ff"/>
          </w:rPr>
          <w:t xml:space="preserve">строке 200</w:t>
        </w:r>
      </w:hyperlink>
      <w:r>
        <w:rPr>
          <w:sz w:val="20"/>
        </w:rPr>
        <w:t xml:space="preserve"> указывается исчисленная ранее сумма отчислений за корректируемый период.</w:t>
      </w:r>
    </w:p>
    <w:p>
      <w:pPr>
        <w:pStyle w:val="0"/>
        <w:spacing w:before="200" w:line-rule="auto"/>
        <w:ind w:firstLine="540"/>
        <w:jc w:val="both"/>
      </w:pPr>
      <w:r>
        <w:rPr>
          <w:sz w:val="20"/>
        </w:rPr>
        <w:t xml:space="preserve">Показатель по </w:t>
      </w:r>
      <w:hyperlink w:history="0" w:anchor="P281" w:tooltip="210">
        <w:r>
          <w:rPr>
            <w:sz w:val="20"/>
            <w:color w:val="0000ff"/>
          </w:rPr>
          <w:t xml:space="preserve">строке 210</w:t>
        </w:r>
      </w:hyperlink>
      <w:r>
        <w:rPr>
          <w:sz w:val="20"/>
        </w:rPr>
        <w:t xml:space="preserve"> отражает размер корректировки суммы отчислений в резерв универсального обслуживания и рассчитывается как разность показателей по </w:t>
      </w:r>
      <w:hyperlink w:history="0" w:anchor="P278" w:tooltip="200">
        <w:r>
          <w:rPr>
            <w:sz w:val="20"/>
            <w:color w:val="0000ff"/>
          </w:rPr>
          <w:t xml:space="preserve">строкам 200</w:t>
        </w:r>
      </w:hyperlink>
      <w:r>
        <w:rPr>
          <w:sz w:val="20"/>
        </w:rPr>
        <w:t xml:space="preserve"> и </w:t>
      </w:r>
      <w:hyperlink w:history="0" w:anchor="P266" w:tooltip="110">
        <w:r>
          <w:rPr>
            <w:sz w:val="20"/>
            <w:color w:val="0000ff"/>
          </w:rPr>
          <w:t xml:space="preserve">110</w:t>
        </w:r>
      </w:hyperlink>
      <w:r>
        <w:rPr>
          <w:sz w:val="20"/>
        </w:rPr>
        <w:t xml:space="preserve">.</w:t>
      </w:r>
    </w:p>
    <w:p>
      <w:pPr>
        <w:pStyle w:val="0"/>
        <w:spacing w:before="200" w:line-rule="auto"/>
        <w:ind w:firstLine="540"/>
        <w:jc w:val="both"/>
      </w:pPr>
      <w:r>
        <w:rPr>
          <w:sz w:val="20"/>
        </w:rPr>
        <w:t xml:space="preserve">Сведения, представленные операторами связи, могут быть скорректированы в срок не более трех финансовых лет, следующих за годом отчетного периода.</w:t>
      </w:r>
    </w:p>
    <w:p>
      <w:pPr>
        <w:pStyle w:val="0"/>
        <w:spacing w:before="200" w:line-rule="auto"/>
        <w:ind w:firstLine="540"/>
        <w:jc w:val="both"/>
      </w:pPr>
      <w:r>
        <w:rPr>
          <w:sz w:val="20"/>
        </w:rPr>
        <w:t xml:space="preserve">Округление показателей в </w:t>
      </w:r>
      <w:hyperlink w:history="0" w:anchor="P93" w:tooltip="Форма расчета">
        <w:r>
          <w:rPr>
            <w:sz w:val="20"/>
            <w:color w:val="0000ff"/>
          </w:rPr>
          <w:t xml:space="preserve">Форме</w:t>
        </w:r>
      </w:hyperlink>
      <w:r>
        <w:rPr>
          <w:sz w:val="20"/>
        </w:rPr>
        <w:t xml:space="preserve"> до целых рублей не допускается, суммы исчисленных отчислений в резерв универсального обслуживания указываются в рублях и копейках.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w:t>
      </w:r>
    </w:p>
    <w:p>
      <w:pPr>
        <w:pStyle w:val="0"/>
        <w:jc w:val="right"/>
      </w:pPr>
      <w:r>
        <w:rPr>
          <w:sz w:val="20"/>
        </w:rPr>
        <w:t xml:space="preserve">цифрового развития,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от 10.11.2021 N 1164</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93" w:name="P93"/>
          <w:bookmarkEnd w:id="93"/>
          <w:p>
            <w:pPr>
              <w:pStyle w:val="0"/>
              <w:jc w:val="center"/>
            </w:pPr>
            <w:r>
              <w:rPr>
                <w:sz w:val="20"/>
              </w:rPr>
              <w:t xml:space="preserve">Форма расчета</w:t>
            </w:r>
          </w:p>
          <w:p>
            <w:pPr>
              <w:pStyle w:val="0"/>
              <w:jc w:val="center"/>
            </w:pPr>
            <w:r>
              <w:rPr>
                <w:sz w:val="20"/>
              </w:rPr>
              <w:t xml:space="preserve">базы обязательных отчислений (неналоговых платежей) в резерв универсального обслуживания</w:t>
            </w:r>
          </w:p>
          <w:p>
            <w:pPr>
              <w:pStyle w:val="0"/>
              <w:jc w:val="center"/>
            </w:pPr>
            <w:r>
              <w:rPr>
                <w:sz w:val="20"/>
              </w:rPr>
              <w:t xml:space="preserve">за ____________ квартал 20__ г.</w:t>
            </w:r>
          </w:p>
        </w:tc>
      </w:tr>
    </w:tbl>
    <w:p>
      <w:pPr>
        <w:pStyle w:val="0"/>
        <w:jc w:val="both"/>
      </w:pPr>
      <w:r>
        <w:rPr>
          <w:sz w:val="20"/>
        </w:rPr>
      </w:r>
    </w:p>
    <w:p>
      <w:pPr>
        <w:pStyle w:val="1"/>
        <w:jc w:val="both"/>
      </w:pPr>
      <w:r>
        <w:rPr>
          <w:sz w:val="20"/>
        </w:rPr>
        <w:t xml:space="preserve">┌────┬────────────────────────────────────────────────────────────────────┐</w:t>
      </w:r>
    </w:p>
    <w:p>
      <w:pPr>
        <w:pStyle w:val="1"/>
        <w:jc w:val="both"/>
      </w:pPr>
      <w:r>
        <w:rPr>
          <w:sz w:val="20"/>
        </w:rPr>
        <w:t xml:space="preserve">│Стр.│                         ┌─┐                ┌─┐                     │</w:t>
      </w:r>
    </w:p>
    <w:bookmarkStart w:id="99" w:name="P99"/>
    <w:bookmarkEnd w:id="99"/>
    <w:p>
      <w:pPr>
        <w:pStyle w:val="1"/>
        <w:jc w:val="both"/>
      </w:pPr>
      <w:r>
        <w:rPr>
          <w:sz w:val="20"/>
        </w:rPr>
        <w:t xml:space="preserve">│ 1  │Вид документа: первичный │ │ корректирующий │ │   (нужное отметить  │</w:t>
      </w:r>
    </w:p>
    <w:p>
      <w:pPr>
        <w:pStyle w:val="1"/>
        <w:jc w:val="both"/>
      </w:pPr>
      <w:r>
        <w:rPr>
          <w:sz w:val="20"/>
        </w:rPr>
        <w:t xml:space="preserve">│    │                         └─┘                └─┘       знаком V)     │</w:t>
      </w:r>
    </w:p>
    <w:p>
      <w:pPr>
        <w:pStyle w:val="1"/>
        <w:jc w:val="both"/>
      </w:pPr>
      <w:r>
        <w:rPr>
          <w:sz w:val="20"/>
        </w:rPr>
        <w:t xml:space="preserve">│    ├────────────────────────────────────────────────────────────────────┤</w:t>
      </w:r>
    </w:p>
    <w:p>
      <w:pPr>
        <w:pStyle w:val="1"/>
        <w:jc w:val="both"/>
      </w:pPr>
      <w:r>
        <w:rPr>
          <w:sz w:val="20"/>
        </w:rPr>
        <w:t xml:space="preserve">│ 2  │Расчет представляется:                                              │</w:t>
      </w:r>
    </w:p>
    <w:p>
      <w:pPr>
        <w:pStyle w:val="1"/>
        <w:jc w:val="both"/>
      </w:pPr>
      <w:r>
        <w:rPr>
          <w:sz w:val="20"/>
        </w:rPr>
        <w:t xml:space="preserve">│    │  Министерство цифрового развития, связи и массовых коммуникаций    │</w:t>
      </w:r>
    </w:p>
    <w:p>
      <w:pPr>
        <w:pStyle w:val="1"/>
        <w:jc w:val="both"/>
      </w:pPr>
      <w:r>
        <w:rPr>
          <w:sz w:val="20"/>
        </w:rPr>
        <w:t xml:space="preserve">│    │  Российской Федерации                                              │</w:t>
      </w:r>
    </w:p>
    <w:p>
      <w:pPr>
        <w:pStyle w:val="1"/>
        <w:jc w:val="both"/>
      </w:pPr>
      <w:r>
        <w:rPr>
          <w:sz w:val="20"/>
        </w:rPr>
        <w:t xml:space="preserve">│    │в ------------------------------------------------------------------│</w:t>
      </w:r>
    </w:p>
    <w:p>
      <w:pPr>
        <w:pStyle w:val="1"/>
        <w:jc w:val="both"/>
      </w:pPr>
      <w:r>
        <w:rPr>
          <w:sz w:val="20"/>
        </w:rPr>
        <w:t xml:space="preserve">│    │   ┌─┬─┐                                                            │</w:t>
      </w:r>
    </w:p>
    <w:p>
      <w:pPr>
        <w:pStyle w:val="1"/>
        <w:jc w:val="both"/>
      </w:pPr>
      <w:r>
        <w:rPr>
          <w:sz w:val="20"/>
        </w:rPr>
        <w:t xml:space="preserve">│ 3  │на │0│2│ страницах.                                                 │</w:t>
      </w:r>
    </w:p>
    <w:p>
      <w:pPr>
        <w:pStyle w:val="1"/>
        <w:jc w:val="both"/>
      </w:pPr>
      <w:r>
        <w:rPr>
          <w:sz w:val="20"/>
        </w:rPr>
        <w:t xml:space="preserve">│    │   └─┴─┘                                                            │</w:t>
      </w:r>
    </w:p>
    <w:p>
      <w:pPr>
        <w:pStyle w:val="1"/>
        <w:jc w:val="both"/>
      </w:pPr>
      <w:r>
        <w:rPr>
          <w:sz w:val="20"/>
        </w:rPr>
        <w:t xml:space="preserve">│    ├────────────────────────────────────────────────────────────────────┤</w:t>
      </w:r>
    </w:p>
    <w:bookmarkStart w:id="110" w:name="P110"/>
    <w:bookmarkEnd w:id="110"/>
    <w:p>
      <w:pPr>
        <w:pStyle w:val="1"/>
        <w:jc w:val="both"/>
      </w:pPr>
      <w:r>
        <w:rPr>
          <w:sz w:val="20"/>
        </w:rPr>
        <w:t xml:space="preserve">│ 4  │Наименование организации:                                           │</w:t>
      </w:r>
    </w:p>
    <w:p>
      <w:pPr>
        <w:pStyle w:val="1"/>
        <w:jc w:val="both"/>
      </w:pPr>
      <w:r>
        <w:rPr>
          <w:sz w:val="20"/>
        </w:rPr>
        <w:t xml:space="preserve">│    ├────────────────────────────────────────────────────────────────────┤</w:t>
      </w:r>
    </w:p>
    <w:p>
      <w:pPr>
        <w:pStyle w:val="1"/>
        <w:jc w:val="both"/>
      </w:pPr>
      <w:r>
        <w:rPr>
          <w:sz w:val="20"/>
        </w:rPr>
        <w:t xml:space="preserve">│    ├────────────────────────────────────────────────────────────────────┤</w:t>
      </w:r>
    </w:p>
    <w:bookmarkStart w:id="113" w:name="P113"/>
    <w:bookmarkEnd w:id="113"/>
    <w:p>
      <w:pPr>
        <w:pStyle w:val="1"/>
        <w:jc w:val="both"/>
      </w:pPr>
      <w:r>
        <w:rPr>
          <w:sz w:val="20"/>
        </w:rPr>
        <w:t xml:space="preserve">│ 5  │Фамилия, Имя, Отчество (при наличии) индивидуального                │</w:t>
      </w:r>
    </w:p>
    <w:p>
      <w:pPr>
        <w:pStyle w:val="1"/>
        <w:jc w:val="both"/>
      </w:pPr>
      <w:r>
        <w:rPr>
          <w:sz w:val="20"/>
        </w:rPr>
        <w:t xml:space="preserve">│    │предпринимателя                                                     │</w:t>
      </w:r>
    </w:p>
    <w:p>
      <w:pPr>
        <w:pStyle w:val="1"/>
        <w:jc w:val="both"/>
      </w:pPr>
      <w:r>
        <w:rPr>
          <w:sz w:val="20"/>
        </w:rPr>
        <w:t xml:space="preserve">│    ├────────────────────────────────────────────────────────────────────┤</w:t>
      </w:r>
    </w:p>
    <w:p>
      <w:pPr>
        <w:pStyle w:val="1"/>
        <w:jc w:val="both"/>
      </w:pPr>
      <w:r>
        <w:rPr>
          <w:sz w:val="20"/>
        </w:rPr>
        <w:t xml:space="preserve">│    ├────────────────────────────────────────────────────────────────────┤</w:t>
      </w:r>
    </w:p>
    <w:bookmarkStart w:id="117" w:name="P117"/>
    <w:bookmarkEnd w:id="117"/>
    <w:p>
      <w:pPr>
        <w:pStyle w:val="1"/>
        <w:jc w:val="both"/>
      </w:pPr>
      <w:r>
        <w:rPr>
          <w:sz w:val="20"/>
        </w:rPr>
        <w:t xml:space="preserve">│ 6  │Место нахождения юридического лица, адрес регистрации гражданина:   │</w:t>
      </w:r>
    </w:p>
    <w:p>
      <w:pPr>
        <w:pStyle w:val="1"/>
        <w:jc w:val="both"/>
      </w:pPr>
      <w:r>
        <w:rPr>
          <w:sz w:val="20"/>
        </w:rPr>
        <w:t xml:space="preserve">│    ├────────────────────────────────────────────────────────────────────┤</w:t>
      </w:r>
    </w:p>
    <w:p>
      <w:pPr>
        <w:pStyle w:val="1"/>
        <w:jc w:val="both"/>
      </w:pPr>
      <w:r>
        <w:rPr>
          <w:sz w:val="20"/>
        </w:rPr>
        <w:t xml:space="preserve">│    ├────────────────────────────────────────────────────────────────────┤</w:t>
      </w:r>
    </w:p>
    <w:bookmarkStart w:id="120" w:name="P120"/>
    <w:bookmarkEnd w:id="120"/>
    <w:p>
      <w:pPr>
        <w:pStyle w:val="1"/>
        <w:jc w:val="both"/>
      </w:pPr>
      <w:r>
        <w:rPr>
          <w:sz w:val="20"/>
        </w:rPr>
        <w:t xml:space="preserve">│ 7  │Код города и номер контактного телефона:   _________________________│</w:t>
      </w:r>
    </w:p>
    <w:p>
      <w:pPr>
        <w:pStyle w:val="1"/>
        <w:jc w:val="both"/>
      </w:pPr>
      <w:r>
        <w:rPr>
          <w:sz w:val="20"/>
        </w:rPr>
        <w:t xml:space="preserve">│    │                                           ┌─┬─┬─┬─┬─┬─┬─┬─┬─┬─┬─┬─┐│</w:t>
      </w:r>
    </w:p>
    <w:p>
      <w:pPr>
        <w:pStyle w:val="1"/>
        <w:jc w:val="both"/>
      </w:pPr>
      <w:r>
        <w:rPr>
          <w:sz w:val="20"/>
        </w:rPr>
        <w:t xml:space="preserve">│ 8  │ИНН организации, физического лица          │ │ │ │ │ │ │ │ │ │ │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│Достоверность и полноту сведений, указанных в настоящем             │</w:t>
      </w:r>
    </w:p>
    <w:p>
      <w:pPr>
        <w:pStyle w:val="1"/>
        <w:jc w:val="both"/>
      </w:pPr>
      <w:r>
        <w:rPr>
          <w:sz w:val="20"/>
        </w:rPr>
        <w:t xml:space="preserve">│    │расчете, подтверждаю:                                               │</w:t>
      </w:r>
    </w:p>
    <w:p>
      <w:pPr>
        <w:pStyle w:val="1"/>
        <w:jc w:val="both"/>
      </w:pPr>
      <w:r>
        <w:rPr>
          <w:sz w:val="20"/>
        </w:rPr>
        <w:t xml:space="preserve">│    │Для организации:                                                    │</w:t>
      </w:r>
    </w:p>
    <w:p>
      <w:pPr>
        <w:pStyle w:val="1"/>
        <w:jc w:val="both"/>
      </w:pPr>
      <w:r>
        <w:rPr>
          <w:sz w:val="20"/>
        </w:rPr>
        <w:t xml:space="preserve">│    │                                                                    │</w:t>
      </w:r>
    </w:p>
    <w:p>
      <w:pPr>
        <w:pStyle w:val="1"/>
        <w:jc w:val="both"/>
      </w:pPr>
      <w:r>
        <w:rPr>
          <w:sz w:val="20"/>
        </w:rPr>
        <w:t xml:space="preserve">│ 10 │Руководитель организации                                            │</w:t>
      </w:r>
    </w:p>
    <w:p>
      <w:pPr>
        <w:pStyle w:val="1"/>
        <w:jc w:val="both"/>
      </w:pPr>
      <w:r>
        <w:rPr>
          <w:sz w:val="20"/>
        </w:rPr>
        <w:t xml:space="preserve">│    │(лицо и.о. руководителя организации): ______________________________│</w:t>
      </w:r>
    </w:p>
    <w:p>
      <w:pPr>
        <w:pStyle w:val="1"/>
        <w:jc w:val="both"/>
      </w:pPr>
      <w:r>
        <w:rPr>
          <w:sz w:val="20"/>
        </w:rPr>
        <w:t xml:space="preserve">│    │                                         (фамилия, имя, отчество    │</w:t>
      </w:r>
    </w:p>
    <w:p>
      <w:pPr>
        <w:pStyle w:val="1"/>
        <w:jc w:val="both"/>
      </w:pPr>
      <w:r>
        <w:rPr>
          <w:sz w:val="20"/>
        </w:rPr>
        <w:t xml:space="preserve">│    │                                              (при наличии)         │</w:t>
      </w:r>
    </w:p>
    <w:p>
      <w:pPr>
        <w:pStyle w:val="1"/>
        <w:jc w:val="both"/>
      </w:pPr>
      <w:r>
        <w:rPr>
          <w:sz w:val="20"/>
        </w:rPr>
        <w:t xml:space="preserve">│    │                                              ┌─┬─┐┌─┬─┐┌─┬─┬─┬─┐   │</w:t>
      </w:r>
    </w:p>
    <w:p>
      <w:pPr>
        <w:pStyle w:val="1"/>
        <w:jc w:val="both"/>
      </w:pPr>
      <w:r>
        <w:rPr>
          <w:sz w:val="20"/>
        </w:rPr>
        <w:t xml:space="preserve">│    │                                              │ │ ││ │ ││2│0│ │ │ г.│</w:t>
      </w:r>
    </w:p>
    <w:p>
      <w:pPr>
        <w:pStyle w:val="1"/>
        <w:jc w:val="both"/>
      </w:pPr>
      <w:r>
        <w:rPr>
          <w:sz w:val="20"/>
        </w:rPr>
        <w:t xml:space="preserve">│    │_____________________________________________ └─┴─┘└─┴─┘└─┴─┴─┴─┘   │</w:t>
      </w:r>
    </w:p>
    <w:p>
      <w:pPr>
        <w:pStyle w:val="1"/>
        <w:jc w:val="both"/>
      </w:pPr>
      <w:r>
        <w:rPr>
          <w:sz w:val="20"/>
        </w:rPr>
        <w:t xml:space="preserve">│    │                  (подпись)                    цифрами: день, месяц,│</w:t>
      </w:r>
    </w:p>
    <w:p>
      <w:pPr>
        <w:pStyle w:val="1"/>
        <w:jc w:val="both"/>
      </w:pPr>
      <w:r>
        <w:rPr>
          <w:sz w:val="20"/>
        </w:rPr>
        <w:t xml:space="preserve">│    │                                                       год          │</w:t>
      </w:r>
    </w:p>
    <w:p>
      <w:pPr>
        <w:pStyle w:val="1"/>
        <w:jc w:val="both"/>
      </w:pPr>
      <w:r>
        <w:rPr>
          <w:sz w:val="20"/>
        </w:rPr>
        <w:t xml:space="preserve">│    │                                                                    │</w:t>
      </w:r>
    </w:p>
    <w:p>
      <w:pPr>
        <w:pStyle w:val="1"/>
        <w:jc w:val="both"/>
      </w:pPr>
      <w:r>
        <w:rPr>
          <w:sz w:val="20"/>
        </w:rPr>
        <w:t xml:space="preserve">│ 11 │Главный бухгалтер                                                   │</w:t>
      </w:r>
    </w:p>
    <w:p>
      <w:pPr>
        <w:pStyle w:val="1"/>
        <w:jc w:val="both"/>
      </w:pPr>
      <w:r>
        <w:rPr>
          <w:sz w:val="20"/>
        </w:rPr>
        <w:t xml:space="preserve">│    │(иное уполномомоченное лицо): ______________________________________│</w:t>
      </w:r>
    </w:p>
    <w:p>
      <w:pPr>
        <w:pStyle w:val="1"/>
        <w:jc w:val="both"/>
      </w:pPr>
      <w:r>
        <w:rPr>
          <w:sz w:val="20"/>
        </w:rPr>
        <w:t xml:space="preserve">│    │                               (фамилия, имя, отчество (при наличии)│</w:t>
      </w:r>
    </w:p>
    <w:p>
      <w:pPr>
        <w:pStyle w:val="1"/>
        <w:jc w:val="both"/>
      </w:pPr>
      <w:r>
        <w:rPr>
          <w:sz w:val="20"/>
        </w:rPr>
        <w:t xml:space="preserve">│    │                                              ┌─┬─┐┌─┬─┐┌─┬─┬─┬─┐   │</w:t>
      </w:r>
    </w:p>
    <w:p>
      <w:pPr>
        <w:pStyle w:val="1"/>
        <w:jc w:val="both"/>
      </w:pPr>
      <w:r>
        <w:rPr>
          <w:sz w:val="20"/>
        </w:rPr>
        <w:t xml:space="preserve">│    │                                              │ │ ││ │ ││2│0│ │ │ г.│</w:t>
      </w:r>
    </w:p>
    <w:p>
      <w:pPr>
        <w:pStyle w:val="1"/>
        <w:jc w:val="both"/>
      </w:pPr>
      <w:r>
        <w:rPr>
          <w:sz w:val="20"/>
        </w:rPr>
        <w:t xml:space="preserve">│    │_____________________________________________ └─┴─┘└─┴─┘└─┴─┴─┴─┘   │</w:t>
      </w:r>
    </w:p>
    <w:p>
      <w:pPr>
        <w:pStyle w:val="1"/>
        <w:jc w:val="both"/>
      </w:pPr>
      <w:r>
        <w:rPr>
          <w:sz w:val="20"/>
        </w:rPr>
        <w:t xml:space="preserve">│    │                 (подпись)                     цифрами: день, месяц,│</w:t>
      </w:r>
    </w:p>
    <w:p>
      <w:pPr>
        <w:pStyle w:val="1"/>
        <w:jc w:val="both"/>
      </w:pPr>
      <w:r>
        <w:rPr>
          <w:sz w:val="20"/>
        </w:rPr>
        <w:t xml:space="preserve">│    │                                                       год          │</w:t>
      </w:r>
    </w:p>
    <w:p>
      <w:pPr>
        <w:pStyle w:val="1"/>
        <w:jc w:val="both"/>
      </w:pPr>
      <w:r>
        <w:rPr>
          <w:sz w:val="20"/>
        </w:rPr>
        <w:t xml:space="preserve">│    │                                                                    │</w:t>
      </w:r>
    </w:p>
    <w:p>
      <w:pPr>
        <w:pStyle w:val="1"/>
        <w:jc w:val="both"/>
      </w:pPr>
      <w:r>
        <w:rPr>
          <w:sz w:val="20"/>
        </w:rPr>
        <w:t xml:space="preserve">│ 12 │Индивидуальный предприниматель: ____________________________________│</w:t>
      </w:r>
    </w:p>
    <w:p>
      <w:pPr>
        <w:pStyle w:val="1"/>
        <w:jc w:val="both"/>
      </w:pPr>
      <w:r>
        <w:rPr>
          <w:sz w:val="20"/>
        </w:rPr>
        <w:t xml:space="preserve">│    │                                       (фамилия, имя, отчество      │</w:t>
      </w:r>
    </w:p>
    <w:p>
      <w:pPr>
        <w:pStyle w:val="1"/>
        <w:jc w:val="both"/>
      </w:pPr>
      <w:r>
        <w:rPr>
          <w:sz w:val="20"/>
        </w:rPr>
        <w:t xml:space="preserve">│    │                                            (при наличии)           │</w:t>
      </w:r>
    </w:p>
    <w:p>
      <w:pPr>
        <w:pStyle w:val="1"/>
        <w:jc w:val="both"/>
      </w:pPr>
      <w:r>
        <w:rPr>
          <w:sz w:val="20"/>
        </w:rPr>
        <w:t xml:space="preserve">│    │                                              ┌─┬─┐┌─┬─┐┌─┬─┬─┬─┐   │</w:t>
      </w:r>
    </w:p>
    <w:p>
      <w:pPr>
        <w:pStyle w:val="1"/>
        <w:jc w:val="both"/>
      </w:pPr>
      <w:r>
        <w:rPr>
          <w:sz w:val="20"/>
        </w:rPr>
        <w:t xml:space="preserve">│    │                                              │ │ ││ │ ││2│0│ │ │ г.│</w:t>
      </w:r>
    </w:p>
    <w:p>
      <w:pPr>
        <w:pStyle w:val="1"/>
        <w:jc w:val="both"/>
      </w:pPr>
      <w:r>
        <w:rPr>
          <w:sz w:val="20"/>
        </w:rPr>
        <w:t xml:space="preserve">│    │_____________________________________________ └─┴─┘└─┴─┘└─┴─┴─┴─┘   │</w:t>
      </w:r>
    </w:p>
    <w:p>
      <w:pPr>
        <w:pStyle w:val="1"/>
        <w:jc w:val="both"/>
      </w:pPr>
      <w:r>
        <w:rPr>
          <w:sz w:val="20"/>
        </w:rPr>
        <w:t xml:space="preserve">│    │                 (подпись)                     цифрами: день, месяц,│</w:t>
      </w:r>
    </w:p>
    <w:p>
      <w:pPr>
        <w:pStyle w:val="1"/>
        <w:jc w:val="both"/>
      </w:pPr>
      <w:r>
        <w:rPr>
          <w:sz w:val="20"/>
        </w:rPr>
        <w:t xml:space="preserve">│    │                                                       год          │</w:t>
      </w:r>
    </w:p>
    <w:p>
      <w:pPr>
        <w:pStyle w:val="1"/>
        <w:jc w:val="both"/>
      </w:pPr>
      <w:r>
        <w:rPr>
          <w:sz w:val="20"/>
        </w:rPr>
        <w:t xml:space="preserve">│    │                                                                    │</w:t>
      </w:r>
    </w:p>
    <w:p>
      <w:pPr>
        <w:pStyle w:val="1"/>
        <w:jc w:val="both"/>
      </w:pPr>
      <w:r>
        <w:rPr>
          <w:sz w:val="20"/>
        </w:rPr>
        <w:t xml:space="preserve">│ 13 │М.П. (при наличии)                                                  │</w:t>
      </w:r>
    </w:p>
    <w:p>
      <w:pPr>
        <w:pStyle w:val="1"/>
        <w:jc w:val="both"/>
      </w:pPr>
      <w:r>
        <w:rPr>
          <w:sz w:val="20"/>
        </w:rPr>
        <w:t xml:space="preserve">│    └────────────────────────────────────────────────────────────────────┤</w:t>
      </w:r>
    </w:p>
    <w:p>
      <w:pPr>
        <w:pStyle w:val="1"/>
        <w:jc w:val="both"/>
      </w:pPr>
      <w:r>
        <w:rPr>
          <w:sz w:val="20"/>
        </w:rPr>
        <w:t xml:space="preserve">│     заполняется работником Министерства цифрового развития, связи       │</w:t>
      </w:r>
    </w:p>
    <w:p>
      <w:pPr>
        <w:pStyle w:val="1"/>
        <w:jc w:val="both"/>
      </w:pPr>
      <w:r>
        <w:rPr>
          <w:sz w:val="20"/>
        </w:rPr>
        <w:t xml:space="preserve">│     и массовых коммуникаций Российской Федерации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14 │Расчет представлен:                           │ │ ││ │ ││2│0│ │ │ г.│</w:t>
      </w:r>
    </w:p>
    <w:p>
      <w:pPr>
        <w:pStyle w:val="1"/>
        <w:jc w:val="both"/>
      </w:pPr>
      <w:r>
        <w:rPr>
          <w:sz w:val="20"/>
        </w:rPr>
        <w:t xml:space="preserve">│    │                                              └─┴─┘└─┴─┘└─┴─┴─┴─┘   │</w:t>
      </w:r>
    </w:p>
    <w:p>
      <w:pPr>
        <w:pStyle w:val="1"/>
        <w:jc w:val="both"/>
      </w:pPr>
      <w:r>
        <w:rPr>
          <w:sz w:val="20"/>
        </w:rPr>
        <w:t xml:space="preserve">│    │                                               цифрами: день, месяц,│</w:t>
      </w:r>
    </w:p>
    <w:p>
      <w:pPr>
        <w:pStyle w:val="1"/>
        <w:jc w:val="both"/>
      </w:pPr>
      <w:r>
        <w:rPr>
          <w:sz w:val="20"/>
        </w:rPr>
        <w:t xml:space="preserve">│    │                                                       год          │</w:t>
      </w:r>
    </w:p>
    <w:p>
      <w:pPr>
        <w:pStyle w:val="1"/>
        <w:jc w:val="both"/>
      </w:pPr>
      <w:r>
        <w:rPr>
          <w:sz w:val="20"/>
        </w:rPr>
        <w:t xml:space="preserve">│    │                                                                    │</w:t>
      </w:r>
    </w:p>
    <w:p>
      <w:pPr>
        <w:pStyle w:val="1"/>
        <w:jc w:val="both"/>
      </w:pPr>
      <w:r>
        <w:rPr>
          <w:sz w:val="20"/>
        </w:rPr>
        <w:t xml:space="preserve">│ 15 │уполномоченным ┌─┐           ┌─┐     ┌─┬─┐                          │</w:t>
      </w:r>
    </w:p>
    <w:p>
      <w:pPr>
        <w:pStyle w:val="1"/>
        <w:jc w:val="both"/>
      </w:pPr>
      <w:r>
        <w:rPr>
          <w:sz w:val="20"/>
        </w:rPr>
        <w:t xml:space="preserve">│    │представителем │ │  по почте │ │  на │ │ │ страницах.               │</w:t>
      </w:r>
    </w:p>
    <w:p>
      <w:pPr>
        <w:pStyle w:val="1"/>
        <w:jc w:val="both"/>
      </w:pPr>
      <w:r>
        <w:rPr>
          <w:sz w:val="20"/>
        </w:rPr>
        <w:t xml:space="preserve">│    │               └─┘           └─┘     └─┴─┘                          │</w:t>
      </w:r>
    </w:p>
    <w:p>
      <w:pPr>
        <w:pStyle w:val="1"/>
        <w:jc w:val="both"/>
      </w:pPr>
      <w:r>
        <w:rPr>
          <w:sz w:val="20"/>
        </w:rPr>
        <w:t xml:space="preserve">│    │      (нужное отметить знаком X)          Зарегистрирован за N _____│</w:t>
      </w:r>
    </w:p>
    <w:p>
      <w:pPr>
        <w:pStyle w:val="1"/>
        <w:jc w:val="both"/>
      </w:pPr>
      <w:r>
        <w:rPr>
          <w:sz w:val="20"/>
        </w:rPr>
        <w:t xml:space="preserve">│    │                                                                    │</w:t>
      </w:r>
    </w:p>
    <w:p>
      <w:pPr>
        <w:pStyle w:val="1"/>
        <w:jc w:val="both"/>
      </w:pPr>
      <w:r>
        <w:rPr>
          <w:sz w:val="20"/>
        </w:rPr>
        <w:t xml:space="preserve">│ 16 │________________________________________________  __________________│</w:t>
      </w:r>
    </w:p>
    <w:p>
      <w:pPr>
        <w:pStyle w:val="1"/>
        <w:jc w:val="both"/>
      </w:pPr>
      <w:r>
        <w:rPr>
          <w:sz w:val="20"/>
        </w:rPr>
        <w:t xml:space="preserve">│    │   (фамилия, и., о. (при наличии) и должность          (подпись)    │</w:t>
      </w:r>
    </w:p>
    <w:p>
      <w:pPr>
        <w:pStyle w:val="1"/>
        <w:jc w:val="both"/>
      </w:pPr>
      <w:r>
        <w:rPr>
          <w:sz w:val="20"/>
        </w:rPr>
        <w:t xml:space="preserve">│    │   работника Министерства цифрового развития,                       │</w:t>
      </w:r>
    </w:p>
    <w:p>
      <w:pPr>
        <w:pStyle w:val="1"/>
        <w:jc w:val="both"/>
      </w:pPr>
      <w:r>
        <w:rPr>
          <w:sz w:val="20"/>
        </w:rPr>
        <w:t xml:space="preserve">│    │         связи и массовых коммуникаций                              │</w:t>
      </w:r>
    </w:p>
    <w:p>
      <w:pPr>
        <w:pStyle w:val="1"/>
        <w:jc w:val="both"/>
      </w:pPr>
      <w:r>
        <w:rPr>
          <w:sz w:val="20"/>
        </w:rPr>
        <w:t xml:space="preserve">│    │             Российской Федерации)                                  │</w:t>
      </w:r>
    </w:p>
    <w:p>
      <w:pPr>
        <w:pStyle w:val="1"/>
        <w:jc w:val="both"/>
      </w:pP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7824"/>
        <w:gridCol w:w="1247"/>
      </w:tblGrid>
      <w:tr>
        <w:tc>
          <w:tcPr>
            <w:tcW w:w="7824" w:type="dxa"/>
            <w:tcBorders>
              <w:top w:val="nil"/>
              <w:left w:val="nil"/>
              <w:bottom w:val="single" w:sz="4"/>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824" w:type="dxa"/>
            <w:tcBorders>
              <w:top w:val="single" w:sz="4"/>
              <w:left w:val="nil"/>
              <w:bottom w:val="nil"/>
              <w:right w:val="nil"/>
            </w:tcBorders>
          </w:tcPr>
          <w:p>
            <w:pPr>
              <w:pStyle w:val="0"/>
              <w:jc w:val="center"/>
            </w:pPr>
            <w:r>
              <w:rPr>
                <w:sz w:val="20"/>
              </w:rPr>
              <w:t xml:space="preserve">(наименование организации, Ф.И.О. (при наличии) индивидуального предпринимателя)</w:t>
            </w:r>
          </w:p>
        </w:tc>
        <w:tc>
          <w:tcPr>
            <w:tcW w:w="124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370"/>
        <w:gridCol w:w="1020"/>
        <w:gridCol w:w="340"/>
        <w:gridCol w:w="340"/>
      </w:tblGrid>
      <w:tr>
        <w:tc>
          <w:tcPr>
            <w:tcW w:w="7370" w:type="dxa"/>
            <w:tcBorders>
              <w:top w:val="nil"/>
              <w:left w:val="nil"/>
              <w:bottom w:val="nil"/>
              <w:right w:val="nil"/>
            </w:tcBorders>
          </w:tcPr>
          <w:p>
            <w:pPr>
              <w:pStyle w:val="0"/>
              <w:outlineLvl w:val="1"/>
              <w:jc w:val="center"/>
            </w:pPr>
            <w:r>
              <w:rPr>
                <w:sz w:val="20"/>
              </w:rPr>
              <w:t xml:space="preserve">за ___________ квартал 20__ г.</w:t>
            </w:r>
          </w:p>
        </w:tc>
        <w:tc>
          <w:tcPr>
            <w:tcW w:w="1020" w:type="dxa"/>
            <w:tcBorders>
              <w:top w:val="nil"/>
              <w:left w:val="nil"/>
              <w:bottom w:val="nil"/>
            </w:tcBorders>
          </w:tcPr>
          <w:p>
            <w:pPr>
              <w:pStyle w:val="0"/>
              <w:jc w:val="right"/>
            </w:pPr>
            <w:r>
              <w:rPr>
                <w:sz w:val="20"/>
              </w:rPr>
              <w:t xml:space="preserve">Стр.</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jc w:val="center"/>
            </w:pPr>
            <w:r>
              <w:rPr>
                <w:sz w:val="20"/>
              </w:rPr>
              <w:t xml:space="preserve">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907"/>
        <w:gridCol w:w="1531"/>
      </w:tblGrid>
      <w:tr>
        <w:tc>
          <w:tcPr>
            <w:tcW w:w="6633" w:type="dxa"/>
          </w:tcPr>
          <w:p>
            <w:pPr>
              <w:pStyle w:val="0"/>
              <w:jc w:val="center"/>
            </w:pPr>
            <w:r>
              <w:rPr>
                <w:sz w:val="20"/>
              </w:rPr>
              <w:t xml:space="preserve">Показатели</w:t>
            </w:r>
          </w:p>
        </w:tc>
        <w:tc>
          <w:tcPr>
            <w:tcW w:w="907" w:type="dxa"/>
          </w:tcPr>
          <w:p>
            <w:pPr>
              <w:pStyle w:val="0"/>
              <w:jc w:val="center"/>
            </w:pPr>
            <w:r>
              <w:rPr>
                <w:sz w:val="20"/>
              </w:rPr>
              <w:t xml:space="preserve">Код строки</w:t>
            </w:r>
          </w:p>
        </w:tc>
        <w:tc>
          <w:tcPr>
            <w:tcW w:w="1531" w:type="dxa"/>
          </w:tcPr>
          <w:p>
            <w:pPr>
              <w:pStyle w:val="0"/>
              <w:jc w:val="center"/>
            </w:pPr>
            <w:r>
              <w:rPr>
                <w:sz w:val="20"/>
              </w:rPr>
              <w:t xml:space="preserve">Значения показателей, руб.</w:t>
            </w:r>
          </w:p>
        </w:tc>
      </w:tr>
      <w:tr>
        <w:tc>
          <w:tcPr>
            <w:tcW w:w="6633" w:type="dxa"/>
          </w:tcPr>
          <w:p>
            <w:pPr>
              <w:pStyle w:val="0"/>
              <w:jc w:val="center"/>
            </w:pPr>
            <w:r>
              <w:rPr>
                <w:sz w:val="20"/>
              </w:rPr>
              <w:t xml:space="preserve">1</w:t>
            </w:r>
          </w:p>
        </w:tc>
        <w:tc>
          <w:tcPr>
            <w:tcW w:w="907" w:type="dxa"/>
          </w:tcPr>
          <w:p>
            <w:pPr>
              <w:pStyle w:val="0"/>
              <w:jc w:val="center"/>
            </w:pPr>
            <w:r>
              <w:rPr>
                <w:sz w:val="20"/>
              </w:rPr>
              <w:t xml:space="preserve">2</w:t>
            </w:r>
          </w:p>
        </w:tc>
        <w:tc>
          <w:tcPr>
            <w:tcW w:w="1531" w:type="dxa"/>
          </w:tcPr>
          <w:p>
            <w:pPr>
              <w:pStyle w:val="0"/>
              <w:jc w:val="center"/>
            </w:pPr>
            <w:r>
              <w:rPr>
                <w:sz w:val="20"/>
              </w:rPr>
              <w:t xml:space="preserve">3</w:t>
            </w:r>
          </w:p>
        </w:tc>
      </w:tr>
      <w:tr>
        <w:tc>
          <w:tcPr>
            <w:tcW w:w="6633" w:type="dxa"/>
          </w:tcPr>
          <w:p>
            <w:pPr>
              <w:pStyle w:val="0"/>
            </w:pPr>
            <w:r>
              <w:rPr>
                <w:sz w:val="20"/>
              </w:rPr>
              <w:t xml:space="preserve">Доход по обычным видам деятельности (сумма строк с </w:t>
            </w:r>
            <w:hyperlink w:history="0" w:anchor="P200" w:tooltip="030">
              <w:r>
                <w:rPr>
                  <w:sz w:val="20"/>
                  <w:color w:val="0000ff"/>
                </w:rPr>
                <w:t xml:space="preserve">030</w:t>
              </w:r>
            </w:hyperlink>
            <w:r>
              <w:rPr>
                <w:sz w:val="20"/>
              </w:rPr>
              <w:t xml:space="preserve"> по </w:t>
            </w:r>
            <w:hyperlink w:history="0" w:anchor="P260" w:tooltip="090">
              <w:r>
                <w:rPr>
                  <w:sz w:val="20"/>
                  <w:color w:val="0000ff"/>
                </w:rPr>
                <w:t xml:space="preserve">090</w:t>
              </w:r>
            </w:hyperlink>
            <w:r>
              <w:rPr>
                <w:sz w:val="20"/>
              </w:rPr>
              <w:t xml:space="preserve">)</w:t>
            </w:r>
          </w:p>
        </w:tc>
        <w:tc>
          <w:tcPr>
            <w:tcW w:w="907" w:type="dxa"/>
            <w:vAlign w:val="center"/>
          </w:tcPr>
          <w:bookmarkStart w:id="197" w:name="P197"/>
          <w:bookmarkEnd w:id="197"/>
          <w:p>
            <w:pPr>
              <w:pStyle w:val="0"/>
              <w:jc w:val="center"/>
            </w:pPr>
            <w:r>
              <w:rPr>
                <w:sz w:val="20"/>
              </w:rPr>
              <w:t xml:space="preserve">010</w:t>
            </w:r>
          </w:p>
        </w:tc>
        <w:tc>
          <w:tcPr>
            <w:tcW w:w="1531" w:type="dxa"/>
            <w:vAlign w:val="center"/>
          </w:tcPr>
          <w:p>
            <w:pPr>
              <w:pStyle w:val="0"/>
            </w:pPr>
            <w:r>
              <w:rPr>
                <w:sz w:val="20"/>
              </w:rPr>
            </w:r>
          </w:p>
        </w:tc>
      </w:tr>
      <w:tr>
        <w:tc>
          <w:tcPr>
            <w:tcW w:w="6633" w:type="dxa"/>
            <w:vAlign w:val="bottom"/>
          </w:tcPr>
          <w:p>
            <w:pPr>
              <w:pStyle w:val="0"/>
              <w:ind w:left="283"/>
            </w:pPr>
            <w:r>
              <w:rPr>
                <w:sz w:val="20"/>
              </w:rPr>
              <w:t xml:space="preserve">От услуг присоединения</w:t>
            </w:r>
          </w:p>
        </w:tc>
        <w:tc>
          <w:tcPr>
            <w:tcW w:w="907" w:type="dxa"/>
            <w:vAlign w:val="center"/>
          </w:tcPr>
          <w:bookmarkStart w:id="200" w:name="P200"/>
          <w:bookmarkEnd w:id="200"/>
          <w:p>
            <w:pPr>
              <w:pStyle w:val="0"/>
              <w:jc w:val="center"/>
            </w:pPr>
            <w:r>
              <w:rPr>
                <w:sz w:val="20"/>
              </w:rPr>
              <w:t xml:space="preserve">030</w:t>
            </w:r>
          </w:p>
        </w:tc>
        <w:tc>
          <w:tcPr>
            <w:tcW w:w="1531" w:type="dxa"/>
            <w:vAlign w:val="center"/>
          </w:tcPr>
          <w:p>
            <w:pPr>
              <w:pStyle w:val="0"/>
            </w:pPr>
            <w:r>
              <w:rPr>
                <w:sz w:val="20"/>
              </w:rPr>
            </w:r>
          </w:p>
        </w:tc>
      </w:tr>
      <w:tr>
        <w:tc>
          <w:tcPr>
            <w:tcW w:w="6633" w:type="dxa"/>
            <w:vAlign w:val="bottom"/>
          </w:tcPr>
          <w:p>
            <w:pPr>
              <w:pStyle w:val="0"/>
              <w:ind w:left="283"/>
            </w:pPr>
            <w:r>
              <w:rPr>
                <w:sz w:val="20"/>
              </w:rPr>
              <w:t xml:space="preserve">От услуг по пропуску трафика</w:t>
            </w:r>
          </w:p>
        </w:tc>
        <w:tc>
          <w:tcPr>
            <w:tcW w:w="907" w:type="dxa"/>
            <w:vAlign w:val="center"/>
          </w:tcPr>
          <w:bookmarkStart w:id="203" w:name="P203"/>
          <w:bookmarkEnd w:id="203"/>
          <w:p>
            <w:pPr>
              <w:pStyle w:val="0"/>
              <w:jc w:val="center"/>
            </w:pPr>
            <w:r>
              <w:rPr>
                <w:sz w:val="20"/>
              </w:rPr>
              <w:t xml:space="preserve">040</w:t>
            </w:r>
          </w:p>
        </w:tc>
        <w:tc>
          <w:tcPr>
            <w:tcW w:w="1531" w:type="dxa"/>
            <w:vAlign w:val="center"/>
          </w:tcPr>
          <w:p>
            <w:pPr>
              <w:pStyle w:val="0"/>
            </w:pPr>
            <w:r>
              <w:rPr>
                <w:sz w:val="20"/>
              </w:rPr>
            </w:r>
          </w:p>
        </w:tc>
      </w:tr>
      <w:tr>
        <w:tc>
          <w:tcPr>
            <w:tcW w:w="6633" w:type="dxa"/>
            <w:vAlign w:val="bottom"/>
          </w:tcPr>
          <w:p>
            <w:pPr>
              <w:pStyle w:val="0"/>
              <w:ind w:left="283"/>
            </w:pPr>
            <w:r>
              <w:rPr>
                <w:sz w:val="20"/>
              </w:rPr>
              <w:t xml:space="preserve">От услуг связи, оказанных абонентам и иным пользователям (сумма строк с </w:t>
            </w:r>
            <w:hyperlink w:history="0" w:anchor="P209" w:tooltip="051">
              <w:r>
                <w:rPr>
                  <w:sz w:val="20"/>
                  <w:color w:val="0000ff"/>
                </w:rPr>
                <w:t xml:space="preserve">051</w:t>
              </w:r>
            </w:hyperlink>
            <w:r>
              <w:rPr>
                <w:sz w:val="20"/>
              </w:rPr>
              <w:t xml:space="preserve"> по </w:t>
            </w:r>
            <w:hyperlink w:history="0" w:anchor="P257" w:tooltip="067">
              <w:r>
                <w:rPr>
                  <w:sz w:val="20"/>
                  <w:color w:val="0000ff"/>
                </w:rPr>
                <w:t xml:space="preserve">067</w:t>
              </w:r>
            </w:hyperlink>
            <w:r>
              <w:rPr>
                <w:sz w:val="20"/>
              </w:rPr>
              <w:t xml:space="preserve">)</w:t>
            </w:r>
          </w:p>
        </w:tc>
        <w:tc>
          <w:tcPr>
            <w:tcW w:w="907" w:type="dxa"/>
            <w:vAlign w:val="center"/>
          </w:tcPr>
          <w:bookmarkStart w:id="206" w:name="P206"/>
          <w:bookmarkEnd w:id="206"/>
          <w:p>
            <w:pPr>
              <w:pStyle w:val="0"/>
              <w:jc w:val="center"/>
            </w:pPr>
            <w:r>
              <w:rPr>
                <w:sz w:val="20"/>
              </w:rPr>
              <w:t xml:space="preserve">050</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местной телефонной связи, за исключением услуг местной телефонной связи с использованием таксофонов и средств коллективного доступа</w:t>
            </w:r>
          </w:p>
        </w:tc>
        <w:tc>
          <w:tcPr>
            <w:tcW w:w="907" w:type="dxa"/>
            <w:vAlign w:val="center"/>
          </w:tcPr>
          <w:bookmarkStart w:id="209" w:name="P209"/>
          <w:bookmarkEnd w:id="209"/>
          <w:p>
            <w:pPr>
              <w:pStyle w:val="0"/>
              <w:jc w:val="center"/>
            </w:pPr>
            <w:r>
              <w:rPr>
                <w:sz w:val="20"/>
              </w:rPr>
              <w:t xml:space="preserve">051</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междугородной и международной телефонной связи</w:t>
            </w:r>
          </w:p>
        </w:tc>
        <w:tc>
          <w:tcPr>
            <w:tcW w:w="907" w:type="dxa"/>
            <w:vAlign w:val="center"/>
          </w:tcPr>
          <w:p>
            <w:pPr>
              <w:pStyle w:val="0"/>
              <w:jc w:val="center"/>
            </w:pPr>
            <w:r>
              <w:rPr>
                <w:sz w:val="20"/>
              </w:rPr>
              <w:t xml:space="preserve">052</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внутризоновой телефонной связи</w:t>
            </w:r>
          </w:p>
        </w:tc>
        <w:tc>
          <w:tcPr>
            <w:tcW w:w="907" w:type="dxa"/>
            <w:vAlign w:val="center"/>
          </w:tcPr>
          <w:p>
            <w:pPr>
              <w:pStyle w:val="0"/>
              <w:jc w:val="center"/>
            </w:pPr>
            <w:r>
              <w:rPr>
                <w:sz w:val="20"/>
              </w:rPr>
              <w:t xml:space="preserve">053</w:t>
            </w:r>
          </w:p>
        </w:tc>
        <w:tc>
          <w:tcPr>
            <w:tcW w:w="1531" w:type="dxa"/>
            <w:vAlign w:val="center"/>
          </w:tcPr>
          <w:p>
            <w:pPr>
              <w:pStyle w:val="0"/>
            </w:pPr>
            <w:r>
              <w:rPr>
                <w:sz w:val="20"/>
              </w:rPr>
            </w:r>
          </w:p>
        </w:tc>
      </w:tr>
      <w:tr>
        <w:tc>
          <w:tcPr>
            <w:tcW w:w="6633" w:type="dxa"/>
          </w:tcPr>
          <w:p>
            <w:pPr>
              <w:pStyle w:val="0"/>
              <w:ind w:left="566"/>
            </w:pPr>
            <w:r>
              <w:rPr>
                <w:sz w:val="20"/>
              </w:rPr>
              <w:t xml:space="preserve">От услуг местной телефонной связи с использованием таксофонов</w:t>
            </w:r>
          </w:p>
        </w:tc>
        <w:tc>
          <w:tcPr>
            <w:tcW w:w="907" w:type="dxa"/>
            <w:vAlign w:val="center"/>
          </w:tcPr>
          <w:p>
            <w:pPr>
              <w:pStyle w:val="0"/>
              <w:jc w:val="center"/>
            </w:pPr>
            <w:r>
              <w:rPr>
                <w:sz w:val="20"/>
              </w:rPr>
              <w:t xml:space="preserve">054</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местной телефонной связи с использованием средств коллективного доступа</w:t>
            </w:r>
          </w:p>
        </w:tc>
        <w:tc>
          <w:tcPr>
            <w:tcW w:w="907" w:type="dxa"/>
            <w:vAlign w:val="center"/>
          </w:tcPr>
          <w:p>
            <w:pPr>
              <w:pStyle w:val="0"/>
              <w:jc w:val="center"/>
            </w:pPr>
            <w:r>
              <w:rPr>
                <w:sz w:val="20"/>
              </w:rPr>
              <w:t xml:space="preserve">055</w:t>
            </w:r>
          </w:p>
        </w:tc>
        <w:tc>
          <w:tcPr>
            <w:tcW w:w="1531" w:type="dxa"/>
            <w:vAlign w:val="center"/>
          </w:tcPr>
          <w:p>
            <w:pPr>
              <w:pStyle w:val="0"/>
            </w:pPr>
            <w:r>
              <w:rPr>
                <w:sz w:val="20"/>
              </w:rPr>
            </w:r>
          </w:p>
        </w:tc>
      </w:tr>
      <w:tr>
        <w:tc>
          <w:tcPr>
            <w:tcW w:w="6633" w:type="dxa"/>
          </w:tcPr>
          <w:p>
            <w:pPr>
              <w:pStyle w:val="0"/>
              <w:ind w:left="566"/>
            </w:pPr>
            <w:r>
              <w:rPr>
                <w:sz w:val="20"/>
              </w:rPr>
              <w:t xml:space="preserve">От услуг телеграфной связи</w:t>
            </w:r>
          </w:p>
        </w:tc>
        <w:tc>
          <w:tcPr>
            <w:tcW w:w="907" w:type="dxa"/>
            <w:vAlign w:val="center"/>
          </w:tcPr>
          <w:p>
            <w:pPr>
              <w:pStyle w:val="0"/>
              <w:jc w:val="center"/>
            </w:pPr>
            <w:r>
              <w:rPr>
                <w:sz w:val="20"/>
              </w:rPr>
              <w:t xml:space="preserve">056</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связи персонального радиовызова</w:t>
            </w:r>
          </w:p>
        </w:tc>
        <w:tc>
          <w:tcPr>
            <w:tcW w:w="907" w:type="dxa"/>
            <w:vAlign w:val="center"/>
          </w:tcPr>
          <w:p>
            <w:pPr>
              <w:pStyle w:val="0"/>
              <w:jc w:val="center"/>
            </w:pPr>
            <w:r>
              <w:rPr>
                <w:sz w:val="20"/>
              </w:rPr>
              <w:t xml:space="preserve">057</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подвижной радиосвязи в сети связи общего пользования</w:t>
            </w:r>
          </w:p>
        </w:tc>
        <w:tc>
          <w:tcPr>
            <w:tcW w:w="907" w:type="dxa"/>
            <w:vAlign w:val="center"/>
          </w:tcPr>
          <w:p>
            <w:pPr>
              <w:pStyle w:val="0"/>
              <w:jc w:val="center"/>
            </w:pPr>
            <w:r>
              <w:rPr>
                <w:sz w:val="20"/>
              </w:rPr>
              <w:t xml:space="preserve">058</w:t>
            </w:r>
          </w:p>
        </w:tc>
        <w:tc>
          <w:tcPr>
            <w:tcW w:w="1531" w:type="dxa"/>
            <w:vAlign w:val="center"/>
          </w:tcPr>
          <w:p>
            <w:pPr>
              <w:pStyle w:val="0"/>
            </w:pPr>
            <w:r>
              <w:rPr>
                <w:sz w:val="20"/>
              </w:rPr>
            </w:r>
          </w:p>
        </w:tc>
      </w:tr>
      <w:tr>
        <w:tc>
          <w:tcPr>
            <w:tcW w:w="6633" w:type="dxa"/>
          </w:tcPr>
          <w:p>
            <w:pPr>
              <w:pStyle w:val="0"/>
              <w:ind w:left="566"/>
            </w:pPr>
            <w:r>
              <w:rPr>
                <w:sz w:val="20"/>
              </w:rPr>
              <w:t xml:space="preserve">От услуг подвижной радиотелефонной связи</w:t>
            </w:r>
          </w:p>
        </w:tc>
        <w:tc>
          <w:tcPr>
            <w:tcW w:w="907" w:type="dxa"/>
            <w:vAlign w:val="center"/>
          </w:tcPr>
          <w:p>
            <w:pPr>
              <w:pStyle w:val="0"/>
              <w:jc w:val="center"/>
            </w:pPr>
            <w:r>
              <w:rPr>
                <w:sz w:val="20"/>
              </w:rPr>
              <w:t xml:space="preserve">059</w:t>
            </w:r>
          </w:p>
        </w:tc>
        <w:tc>
          <w:tcPr>
            <w:tcW w:w="1531" w:type="dxa"/>
            <w:vAlign w:val="center"/>
          </w:tcPr>
          <w:p>
            <w:pPr>
              <w:pStyle w:val="0"/>
            </w:pPr>
            <w:r>
              <w:rPr>
                <w:sz w:val="20"/>
              </w:rPr>
            </w:r>
          </w:p>
        </w:tc>
      </w:tr>
      <w:tr>
        <w:tc>
          <w:tcPr>
            <w:tcW w:w="6633" w:type="dxa"/>
          </w:tcPr>
          <w:p>
            <w:pPr>
              <w:pStyle w:val="0"/>
              <w:ind w:left="566"/>
            </w:pPr>
            <w:r>
              <w:rPr>
                <w:sz w:val="20"/>
              </w:rPr>
              <w:t xml:space="preserve">От услуг подвижной спутниковой радиосвязи</w:t>
            </w:r>
          </w:p>
        </w:tc>
        <w:tc>
          <w:tcPr>
            <w:tcW w:w="907" w:type="dxa"/>
            <w:vAlign w:val="center"/>
          </w:tcPr>
          <w:p>
            <w:pPr>
              <w:pStyle w:val="0"/>
              <w:jc w:val="center"/>
            </w:pPr>
            <w:r>
              <w:rPr>
                <w:sz w:val="20"/>
              </w:rPr>
              <w:t xml:space="preserve">060</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связи по предоставлению каналов связи</w:t>
            </w:r>
          </w:p>
        </w:tc>
        <w:tc>
          <w:tcPr>
            <w:tcW w:w="907" w:type="dxa"/>
            <w:vAlign w:val="center"/>
          </w:tcPr>
          <w:p>
            <w:pPr>
              <w:pStyle w:val="0"/>
              <w:jc w:val="center"/>
            </w:pPr>
            <w:r>
              <w:rPr>
                <w:sz w:val="20"/>
              </w:rPr>
              <w:t xml:space="preserve">061</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связи по передаче данных, за исключением услуг связи по передаче данных для целей передачи голосовой информации</w:t>
            </w:r>
          </w:p>
        </w:tc>
        <w:tc>
          <w:tcPr>
            <w:tcW w:w="907" w:type="dxa"/>
            <w:vAlign w:val="center"/>
          </w:tcPr>
          <w:p>
            <w:pPr>
              <w:pStyle w:val="0"/>
              <w:jc w:val="center"/>
            </w:pPr>
            <w:r>
              <w:rPr>
                <w:sz w:val="20"/>
              </w:rPr>
              <w:t xml:space="preserve">062</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связи по передаче данных для целей передачи голосовой информации</w:t>
            </w:r>
          </w:p>
        </w:tc>
        <w:tc>
          <w:tcPr>
            <w:tcW w:w="907" w:type="dxa"/>
            <w:vAlign w:val="center"/>
          </w:tcPr>
          <w:p>
            <w:pPr>
              <w:pStyle w:val="0"/>
              <w:jc w:val="center"/>
            </w:pPr>
            <w:r>
              <w:rPr>
                <w:sz w:val="20"/>
              </w:rPr>
              <w:t xml:space="preserve">063</w:t>
            </w:r>
          </w:p>
        </w:tc>
        <w:tc>
          <w:tcPr>
            <w:tcW w:w="1531" w:type="dxa"/>
            <w:vAlign w:val="center"/>
          </w:tcPr>
          <w:p>
            <w:pPr>
              <w:pStyle w:val="0"/>
            </w:pPr>
            <w:r>
              <w:rPr>
                <w:sz w:val="20"/>
              </w:rPr>
            </w:r>
          </w:p>
        </w:tc>
      </w:tr>
      <w:tr>
        <w:tc>
          <w:tcPr>
            <w:tcW w:w="6633" w:type="dxa"/>
          </w:tcPr>
          <w:p>
            <w:pPr>
              <w:pStyle w:val="0"/>
              <w:ind w:left="566"/>
            </w:pPr>
            <w:r>
              <w:rPr>
                <w:sz w:val="20"/>
              </w:rPr>
              <w:t xml:space="preserve">От телематических услуг связи</w:t>
            </w:r>
          </w:p>
        </w:tc>
        <w:tc>
          <w:tcPr>
            <w:tcW w:w="907" w:type="dxa"/>
            <w:vAlign w:val="center"/>
          </w:tcPr>
          <w:p>
            <w:pPr>
              <w:pStyle w:val="0"/>
              <w:jc w:val="center"/>
            </w:pPr>
            <w:r>
              <w:rPr>
                <w:sz w:val="20"/>
              </w:rPr>
              <w:t xml:space="preserve">064</w:t>
            </w:r>
          </w:p>
        </w:tc>
        <w:tc>
          <w:tcPr>
            <w:tcW w:w="1531" w:type="dxa"/>
            <w:vAlign w:val="center"/>
          </w:tcPr>
          <w:p>
            <w:pPr>
              <w:pStyle w:val="0"/>
            </w:pPr>
            <w:r>
              <w:rPr>
                <w:sz w:val="20"/>
              </w:rPr>
            </w:r>
          </w:p>
        </w:tc>
      </w:tr>
      <w:tr>
        <w:tc>
          <w:tcPr>
            <w:tcW w:w="6633" w:type="dxa"/>
            <w:vAlign w:val="bottom"/>
          </w:tcPr>
          <w:p>
            <w:pPr>
              <w:pStyle w:val="0"/>
              <w:ind w:left="566"/>
            </w:pPr>
            <w:r>
              <w:rPr>
                <w:sz w:val="20"/>
              </w:rPr>
              <w:t xml:space="preserve">От услуг связи для целей кабельного вещания</w:t>
            </w:r>
          </w:p>
        </w:tc>
        <w:tc>
          <w:tcPr>
            <w:tcW w:w="907" w:type="dxa"/>
            <w:vAlign w:val="center"/>
          </w:tcPr>
          <w:p>
            <w:pPr>
              <w:pStyle w:val="0"/>
              <w:jc w:val="center"/>
            </w:pPr>
            <w:r>
              <w:rPr>
                <w:sz w:val="20"/>
              </w:rPr>
              <w:t xml:space="preserve">065</w:t>
            </w:r>
          </w:p>
        </w:tc>
        <w:tc>
          <w:tcPr>
            <w:tcW w:w="1531" w:type="dxa"/>
            <w:vAlign w:val="center"/>
          </w:tcPr>
          <w:p>
            <w:pPr>
              <w:pStyle w:val="0"/>
            </w:pPr>
            <w:r>
              <w:rPr>
                <w:sz w:val="20"/>
              </w:rPr>
            </w:r>
          </w:p>
        </w:tc>
      </w:tr>
      <w:tr>
        <w:tc>
          <w:tcPr>
            <w:tcW w:w="6633" w:type="dxa"/>
          </w:tcPr>
          <w:p>
            <w:pPr>
              <w:pStyle w:val="0"/>
              <w:ind w:left="566"/>
            </w:pPr>
            <w:r>
              <w:rPr>
                <w:sz w:val="20"/>
              </w:rPr>
              <w:t xml:space="preserve">От услуг связи для целей эфирного вещания</w:t>
            </w:r>
          </w:p>
        </w:tc>
        <w:tc>
          <w:tcPr>
            <w:tcW w:w="907" w:type="dxa"/>
            <w:vAlign w:val="center"/>
          </w:tcPr>
          <w:p>
            <w:pPr>
              <w:pStyle w:val="0"/>
              <w:jc w:val="center"/>
            </w:pPr>
            <w:r>
              <w:rPr>
                <w:sz w:val="20"/>
              </w:rPr>
              <w:t xml:space="preserve">066</w:t>
            </w:r>
          </w:p>
        </w:tc>
        <w:tc>
          <w:tcPr>
            <w:tcW w:w="1531" w:type="dxa"/>
            <w:vAlign w:val="center"/>
          </w:tcPr>
          <w:p>
            <w:pPr>
              <w:pStyle w:val="0"/>
            </w:pPr>
            <w:r>
              <w:rPr>
                <w:sz w:val="20"/>
              </w:rPr>
            </w:r>
          </w:p>
        </w:tc>
      </w:tr>
      <w:tr>
        <w:tc>
          <w:tcPr>
            <w:tcW w:w="6633" w:type="dxa"/>
          </w:tcPr>
          <w:p>
            <w:pPr>
              <w:pStyle w:val="0"/>
              <w:ind w:left="566"/>
            </w:pPr>
            <w:r>
              <w:rPr>
                <w:sz w:val="20"/>
              </w:rPr>
              <w:t xml:space="preserve">От услуг связи для целей проводного радиовещания</w:t>
            </w:r>
          </w:p>
        </w:tc>
        <w:tc>
          <w:tcPr>
            <w:tcW w:w="907" w:type="dxa"/>
            <w:vAlign w:val="center"/>
          </w:tcPr>
          <w:bookmarkStart w:id="257" w:name="P257"/>
          <w:bookmarkEnd w:id="257"/>
          <w:p>
            <w:pPr>
              <w:pStyle w:val="0"/>
              <w:jc w:val="center"/>
            </w:pPr>
            <w:r>
              <w:rPr>
                <w:sz w:val="20"/>
              </w:rPr>
              <w:t xml:space="preserve">067</w:t>
            </w:r>
          </w:p>
        </w:tc>
        <w:tc>
          <w:tcPr>
            <w:tcW w:w="1531" w:type="dxa"/>
            <w:vAlign w:val="center"/>
          </w:tcPr>
          <w:p>
            <w:pPr>
              <w:pStyle w:val="0"/>
            </w:pPr>
            <w:r>
              <w:rPr>
                <w:sz w:val="20"/>
              </w:rPr>
            </w:r>
          </w:p>
        </w:tc>
      </w:tr>
      <w:tr>
        <w:tc>
          <w:tcPr>
            <w:tcW w:w="6633" w:type="dxa"/>
          </w:tcPr>
          <w:p>
            <w:pPr>
              <w:pStyle w:val="0"/>
              <w:ind w:left="283"/>
            </w:pPr>
            <w:r>
              <w:rPr>
                <w:sz w:val="20"/>
              </w:rPr>
              <w:t xml:space="preserve">Прочие доходы по обычным видам деятельности</w:t>
            </w:r>
          </w:p>
        </w:tc>
        <w:tc>
          <w:tcPr>
            <w:tcW w:w="907" w:type="dxa"/>
            <w:vAlign w:val="center"/>
          </w:tcPr>
          <w:bookmarkStart w:id="260" w:name="P260"/>
          <w:bookmarkEnd w:id="260"/>
          <w:p>
            <w:pPr>
              <w:pStyle w:val="0"/>
              <w:jc w:val="center"/>
            </w:pPr>
            <w:r>
              <w:rPr>
                <w:sz w:val="20"/>
              </w:rPr>
              <w:t xml:space="preserve">090</w:t>
            </w:r>
          </w:p>
        </w:tc>
        <w:tc>
          <w:tcPr>
            <w:tcW w:w="1531" w:type="dxa"/>
            <w:vAlign w:val="center"/>
          </w:tcPr>
          <w:p>
            <w:pPr>
              <w:pStyle w:val="0"/>
            </w:pPr>
            <w:r>
              <w:rPr>
                <w:sz w:val="20"/>
              </w:rPr>
            </w:r>
          </w:p>
        </w:tc>
      </w:tr>
      <w:tr>
        <w:tc>
          <w:tcPr>
            <w:tcW w:w="6633" w:type="dxa"/>
          </w:tcPr>
          <w:p>
            <w:pPr>
              <w:pStyle w:val="0"/>
            </w:pPr>
            <w:r>
              <w:rPr>
                <w:sz w:val="20"/>
              </w:rPr>
              <w:t xml:space="preserve">Ставка отчислений в резерв универсального обслуживания (%)</w:t>
            </w:r>
          </w:p>
        </w:tc>
        <w:tc>
          <w:tcPr>
            <w:tcW w:w="907" w:type="dxa"/>
            <w:vAlign w:val="center"/>
          </w:tcPr>
          <w:bookmarkStart w:id="263" w:name="P263"/>
          <w:bookmarkEnd w:id="263"/>
          <w:p>
            <w:pPr>
              <w:pStyle w:val="0"/>
              <w:jc w:val="center"/>
            </w:pPr>
            <w:r>
              <w:rPr>
                <w:sz w:val="20"/>
              </w:rPr>
              <w:t xml:space="preserve">100</w:t>
            </w:r>
          </w:p>
        </w:tc>
        <w:tc>
          <w:tcPr>
            <w:tcW w:w="1531" w:type="dxa"/>
            <w:vAlign w:val="center"/>
          </w:tcPr>
          <w:p>
            <w:pPr>
              <w:pStyle w:val="0"/>
            </w:pPr>
            <w:r>
              <w:rPr>
                <w:sz w:val="20"/>
              </w:rPr>
            </w:r>
          </w:p>
        </w:tc>
      </w:tr>
      <w:tr>
        <w:tc>
          <w:tcPr>
            <w:tcW w:w="6633" w:type="dxa"/>
            <w:vAlign w:val="bottom"/>
          </w:tcPr>
          <w:p>
            <w:pPr>
              <w:pStyle w:val="0"/>
            </w:pPr>
            <w:r>
              <w:rPr>
                <w:sz w:val="20"/>
              </w:rPr>
              <w:t xml:space="preserve">Сумма исчисленных отчислений в резерв универсального обслуживания (</w:t>
            </w:r>
            <w:hyperlink w:history="0" w:anchor="P206" w:tooltip="050">
              <w:r>
                <w:rPr>
                  <w:sz w:val="20"/>
                  <w:color w:val="0000ff"/>
                </w:rPr>
                <w:t xml:space="preserve">строка 050</w:t>
              </w:r>
            </w:hyperlink>
            <w:r>
              <w:rPr>
                <w:sz w:val="20"/>
              </w:rPr>
              <w:t xml:space="preserve"> x </w:t>
            </w:r>
            <w:hyperlink w:history="0" w:anchor="P263" w:tooltip="100">
              <w:r>
                <w:rPr>
                  <w:sz w:val="20"/>
                  <w:color w:val="0000ff"/>
                </w:rPr>
                <w:t xml:space="preserve">строка 100</w:t>
              </w:r>
            </w:hyperlink>
            <w:r>
              <w:rPr>
                <w:sz w:val="20"/>
              </w:rPr>
              <w:t xml:space="preserve">)</w:t>
            </w:r>
          </w:p>
        </w:tc>
        <w:tc>
          <w:tcPr>
            <w:tcW w:w="907" w:type="dxa"/>
            <w:vAlign w:val="center"/>
          </w:tcPr>
          <w:bookmarkStart w:id="266" w:name="P266"/>
          <w:bookmarkEnd w:id="266"/>
          <w:p>
            <w:pPr>
              <w:pStyle w:val="0"/>
              <w:jc w:val="center"/>
            </w:pPr>
            <w:r>
              <w:rPr>
                <w:sz w:val="20"/>
              </w:rPr>
              <w:t xml:space="preserve">110</w:t>
            </w:r>
          </w:p>
        </w:tc>
        <w:tc>
          <w:tcPr>
            <w:tcW w:w="1531" w:type="dxa"/>
            <w:vAlign w:val="center"/>
          </w:tcPr>
          <w:p>
            <w:pPr>
              <w:pStyle w:val="0"/>
            </w:pPr>
            <w:r>
              <w:rPr>
                <w:sz w:val="20"/>
              </w:rPr>
            </w:r>
          </w:p>
        </w:tc>
      </w:tr>
      <w:tr>
        <w:tc>
          <w:tcPr>
            <w:tcW w:w="6633" w:type="dxa"/>
          </w:tcPr>
          <w:p>
            <w:pPr>
              <w:pStyle w:val="0"/>
            </w:pPr>
            <w:r>
              <w:rPr>
                <w:sz w:val="20"/>
              </w:rPr>
              <w:t xml:space="preserve">Сумма отчислений к доплате (уменьшению) </w:t>
            </w:r>
            <w:hyperlink w:history="0" w:anchor="P285" w:tooltip="&lt;*&gt; Заполняется в первичных Сведениях.">
              <w:r>
                <w:rPr>
                  <w:sz w:val="20"/>
                  <w:color w:val="0000ff"/>
                </w:rPr>
                <w:t xml:space="preserve">&lt;*&gt;</w:t>
              </w:r>
            </w:hyperlink>
          </w:p>
        </w:tc>
        <w:tc>
          <w:tcPr>
            <w:tcW w:w="907" w:type="dxa"/>
            <w:vAlign w:val="center"/>
          </w:tcPr>
          <w:bookmarkStart w:id="269" w:name="P269"/>
          <w:bookmarkEnd w:id="269"/>
          <w:p>
            <w:pPr>
              <w:pStyle w:val="0"/>
              <w:jc w:val="center"/>
            </w:pPr>
            <w:r>
              <w:rPr>
                <w:sz w:val="20"/>
              </w:rPr>
              <w:t xml:space="preserve">120</w:t>
            </w:r>
          </w:p>
        </w:tc>
        <w:tc>
          <w:tcPr>
            <w:tcW w:w="1531" w:type="dxa"/>
            <w:vAlign w:val="center"/>
          </w:tcPr>
          <w:p>
            <w:pPr>
              <w:pStyle w:val="0"/>
            </w:pPr>
            <w:r>
              <w:rPr>
                <w:sz w:val="20"/>
              </w:rPr>
            </w:r>
          </w:p>
        </w:tc>
      </w:tr>
      <w:tr>
        <w:tc>
          <w:tcPr>
            <w:tcW w:w="6633" w:type="dxa"/>
          </w:tcPr>
          <w:p>
            <w:pPr>
              <w:pStyle w:val="0"/>
            </w:pPr>
            <w:r>
              <w:rPr>
                <w:sz w:val="20"/>
              </w:rPr>
              <w:t xml:space="preserve">Сумма задолженности перед резервом универсального обслуживания </w:t>
            </w:r>
            <w:hyperlink w:history="0" w:anchor="P285" w:tooltip="&lt;*&gt; Заполняется в первичных Сведениях.">
              <w:r>
                <w:rPr>
                  <w:sz w:val="20"/>
                  <w:color w:val="0000ff"/>
                </w:rPr>
                <w:t xml:space="preserve">&lt;*&gt;</w:t>
              </w:r>
            </w:hyperlink>
          </w:p>
        </w:tc>
        <w:tc>
          <w:tcPr>
            <w:tcW w:w="907" w:type="dxa"/>
            <w:vAlign w:val="center"/>
          </w:tcPr>
          <w:bookmarkStart w:id="272" w:name="P272"/>
          <w:bookmarkEnd w:id="272"/>
          <w:p>
            <w:pPr>
              <w:pStyle w:val="0"/>
              <w:jc w:val="center"/>
            </w:pPr>
            <w:r>
              <w:rPr>
                <w:sz w:val="20"/>
              </w:rPr>
              <w:t xml:space="preserve">130</w:t>
            </w:r>
          </w:p>
        </w:tc>
        <w:tc>
          <w:tcPr>
            <w:tcW w:w="1531" w:type="dxa"/>
            <w:vAlign w:val="center"/>
          </w:tcPr>
          <w:p>
            <w:pPr>
              <w:pStyle w:val="0"/>
            </w:pPr>
            <w:r>
              <w:rPr>
                <w:sz w:val="20"/>
              </w:rPr>
            </w:r>
          </w:p>
        </w:tc>
      </w:tr>
      <w:tr>
        <w:tc>
          <w:tcPr>
            <w:tcW w:w="6633" w:type="dxa"/>
            <w:vAlign w:val="bottom"/>
          </w:tcPr>
          <w:p>
            <w:pPr>
              <w:pStyle w:val="0"/>
            </w:pPr>
            <w:r>
              <w:rPr>
                <w:sz w:val="20"/>
              </w:rPr>
              <w:t xml:space="preserve">Сумма отчислений, подлежащая уплате в резерв универсального обслуживания (</w:t>
            </w:r>
            <w:hyperlink w:history="0" w:anchor="P266" w:tooltip="110">
              <w:r>
                <w:rPr>
                  <w:sz w:val="20"/>
                  <w:color w:val="0000ff"/>
                </w:rPr>
                <w:t xml:space="preserve">строка 110</w:t>
              </w:r>
            </w:hyperlink>
            <w:r>
              <w:rPr>
                <w:sz w:val="20"/>
              </w:rPr>
              <w:t xml:space="preserve"> + </w:t>
            </w:r>
            <w:hyperlink w:history="0" w:anchor="P269" w:tooltip="120">
              <w:r>
                <w:rPr>
                  <w:sz w:val="20"/>
                  <w:color w:val="0000ff"/>
                </w:rPr>
                <w:t xml:space="preserve">строка 120</w:t>
              </w:r>
            </w:hyperlink>
            <w:r>
              <w:rPr>
                <w:sz w:val="20"/>
              </w:rPr>
              <w:t xml:space="preserve"> + </w:t>
            </w:r>
            <w:hyperlink w:history="0" w:anchor="P272" w:tooltip="130">
              <w:r>
                <w:rPr>
                  <w:sz w:val="20"/>
                  <w:color w:val="0000ff"/>
                </w:rPr>
                <w:t xml:space="preserve">строка 130</w:t>
              </w:r>
            </w:hyperlink>
            <w:r>
              <w:rPr>
                <w:sz w:val="20"/>
              </w:rPr>
              <w:t xml:space="preserve">) </w:t>
            </w:r>
            <w:hyperlink w:history="0" w:anchor="P285" w:tooltip="&lt;*&gt; Заполняется в первичных Сведениях.">
              <w:r>
                <w:rPr>
                  <w:sz w:val="20"/>
                  <w:color w:val="0000ff"/>
                </w:rPr>
                <w:t xml:space="preserve">&lt;*&gt;</w:t>
              </w:r>
            </w:hyperlink>
          </w:p>
        </w:tc>
        <w:tc>
          <w:tcPr>
            <w:tcW w:w="907" w:type="dxa"/>
            <w:vAlign w:val="center"/>
          </w:tcPr>
          <w:bookmarkStart w:id="275" w:name="P275"/>
          <w:bookmarkEnd w:id="275"/>
          <w:p>
            <w:pPr>
              <w:pStyle w:val="0"/>
              <w:jc w:val="center"/>
            </w:pPr>
            <w:r>
              <w:rPr>
                <w:sz w:val="20"/>
              </w:rPr>
              <w:t xml:space="preserve">140</w:t>
            </w:r>
          </w:p>
        </w:tc>
        <w:tc>
          <w:tcPr>
            <w:tcW w:w="1531" w:type="dxa"/>
            <w:vAlign w:val="center"/>
          </w:tcPr>
          <w:p>
            <w:pPr>
              <w:pStyle w:val="0"/>
            </w:pPr>
            <w:r>
              <w:rPr>
                <w:sz w:val="20"/>
              </w:rPr>
            </w:r>
          </w:p>
        </w:tc>
      </w:tr>
      <w:tr>
        <w:tc>
          <w:tcPr>
            <w:tcW w:w="6633" w:type="dxa"/>
            <w:vAlign w:val="bottom"/>
          </w:tcPr>
          <w:p>
            <w:pPr>
              <w:pStyle w:val="0"/>
            </w:pPr>
            <w:r>
              <w:rPr>
                <w:sz w:val="20"/>
              </w:rPr>
              <w:t xml:space="preserve">Сумма отчислений в резерв универсального обслуживания, указанная в ранее предоставленной форме </w:t>
            </w:r>
            <w:hyperlink w:history="0" w:anchor="P286" w:tooltip="&lt;**&gt; Заполняется в корректирующих Сведениях.">
              <w:r>
                <w:rPr>
                  <w:sz w:val="20"/>
                  <w:color w:val="0000ff"/>
                </w:rPr>
                <w:t xml:space="preserve">&lt;**&gt;</w:t>
              </w:r>
            </w:hyperlink>
          </w:p>
        </w:tc>
        <w:tc>
          <w:tcPr>
            <w:tcW w:w="907" w:type="dxa"/>
            <w:vAlign w:val="center"/>
          </w:tcPr>
          <w:bookmarkStart w:id="278" w:name="P278"/>
          <w:bookmarkEnd w:id="278"/>
          <w:p>
            <w:pPr>
              <w:pStyle w:val="0"/>
              <w:jc w:val="center"/>
            </w:pPr>
            <w:r>
              <w:rPr>
                <w:sz w:val="20"/>
              </w:rPr>
              <w:t xml:space="preserve">200</w:t>
            </w:r>
          </w:p>
        </w:tc>
        <w:tc>
          <w:tcPr>
            <w:tcW w:w="1531" w:type="dxa"/>
            <w:vAlign w:val="center"/>
          </w:tcPr>
          <w:p>
            <w:pPr>
              <w:pStyle w:val="0"/>
            </w:pPr>
            <w:r>
              <w:rPr>
                <w:sz w:val="20"/>
              </w:rPr>
            </w:r>
          </w:p>
        </w:tc>
      </w:tr>
      <w:tr>
        <w:tc>
          <w:tcPr>
            <w:tcW w:w="6633" w:type="dxa"/>
          </w:tcPr>
          <w:p>
            <w:pPr>
              <w:pStyle w:val="0"/>
            </w:pPr>
            <w:r>
              <w:rPr>
                <w:sz w:val="20"/>
              </w:rPr>
              <w:t xml:space="preserve">Корректировка суммы отчислений в резерв универсального обслуживания (</w:t>
            </w:r>
            <w:hyperlink w:history="0" w:anchor="P278" w:tooltip="200">
              <w:r>
                <w:rPr>
                  <w:sz w:val="20"/>
                  <w:color w:val="0000ff"/>
                </w:rPr>
                <w:t xml:space="preserve">строка 200</w:t>
              </w:r>
            </w:hyperlink>
            <w:r>
              <w:rPr>
                <w:sz w:val="20"/>
              </w:rPr>
              <w:t xml:space="preserve"> - </w:t>
            </w:r>
            <w:hyperlink w:history="0" w:anchor="P266" w:tooltip="110">
              <w:r>
                <w:rPr>
                  <w:sz w:val="20"/>
                  <w:color w:val="0000ff"/>
                </w:rPr>
                <w:t xml:space="preserve">строка 110</w:t>
              </w:r>
            </w:hyperlink>
            <w:r>
              <w:rPr>
                <w:sz w:val="20"/>
              </w:rPr>
              <w:t xml:space="preserve">) </w:t>
            </w:r>
            <w:hyperlink w:history="0" w:anchor="P286" w:tooltip="&lt;**&gt; Заполняется в корректирующих Сведениях.">
              <w:r>
                <w:rPr>
                  <w:sz w:val="20"/>
                  <w:color w:val="0000ff"/>
                </w:rPr>
                <w:t xml:space="preserve">&lt;**&gt;</w:t>
              </w:r>
            </w:hyperlink>
          </w:p>
        </w:tc>
        <w:tc>
          <w:tcPr>
            <w:tcW w:w="907" w:type="dxa"/>
            <w:vAlign w:val="center"/>
          </w:tcPr>
          <w:bookmarkStart w:id="281" w:name="P281"/>
          <w:bookmarkEnd w:id="281"/>
          <w:p>
            <w:pPr>
              <w:pStyle w:val="0"/>
              <w:jc w:val="center"/>
            </w:pPr>
            <w:r>
              <w:rPr>
                <w:sz w:val="20"/>
              </w:rPr>
              <w:t xml:space="preserve">210</w:t>
            </w:r>
          </w:p>
        </w:tc>
        <w:tc>
          <w:tcPr>
            <w:tcW w:w="1531"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285" w:name="P285"/>
    <w:bookmarkEnd w:id="285"/>
    <w:p>
      <w:pPr>
        <w:pStyle w:val="0"/>
        <w:spacing w:before="200" w:line-rule="auto"/>
        <w:ind w:firstLine="540"/>
        <w:jc w:val="both"/>
      </w:pPr>
      <w:r>
        <w:rPr>
          <w:sz w:val="20"/>
        </w:rPr>
        <w:t xml:space="preserve">&lt;*&gt; Заполняется в первичных Сведениях.</w:t>
      </w:r>
    </w:p>
    <w:bookmarkStart w:id="286" w:name="P286"/>
    <w:bookmarkEnd w:id="286"/>
    <w:p>
      <w:pPr>
        <w:pStyle w:val="0"/>
        <w:spacing w:before="200" w:line-rule="auto"/>
        <w:ind w:firstLine="540"/>
        <w:jc w:val="both"/>
      </w:pPr>
      <w:r>
        <w:rPr>
          <w:sz w:val="20"/>
        </w:rPr>
        <w:t xml:space="preserve">&lt;**&gt; Заполняется в корректирующих Сведениях.</w:t>
      </w:r>
    </w:p>
    <w:p>
      <w:pPr>
        <w:pStyle w:val="0"/>
        <w:ind w:firstLine="54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1247"/>
        <w:gridCol w:w="2324"/>
        <w:gridCol w:w="340"/>
        <w:gridCol w:w="567"/>
        <w:gridCol w:w="510"/>
        <w:gridCol w:w="340"/>
        <w:gridCol w:w="454"/>
        <w:gridCol w:w="454"/>
        <w:gridCol w:w="340"/>
        <w:gridCol w:w="510"/>
        <w:gridCol w:w="397"/>
        <w:gridCol w:w="454"/>
        <w:gridCol w:w="567"/>
        <w:gridCol w:w="567"/>
      </w:tblGrid>
      <w:tr>
        <w:tc>
          <w:tcPr>
            <w:tcW w:w="1247" w:type="dxa"/>
            <w:tcBorders>
              <w:top w:val="nil"/>
              <w:left w:val="nil"/>
              <w:bottom w:val="nil"/>
              <w:right w:val="nil"/>
            </w:tcBorders>
          </w:tcPr>
          <w:p>
            <w:pPr>
              <w:pStyle w:val="0"/>
              <w:jc w:val="both"/>
            </w:pPr>
            <w:r>
              <w:rPr>
                <w:sz w:val="20"/>
              </w:rPr>
            </w:r>
          </w:p>
        </w:tc>
        <w:tc>
          <w:tcPr>
            <w:tcW w:w="2324" w:type="dxa"/>
            <w:tcBorders>
              <w:top w:val="nil"/>
              <w:left w:val="nil"/>
              <w:right w:val="nil"/>
            </w:tcBorders>
          </w:tcPr>
          <w:p>
            <w:pPr>
              <w:pStyle w:val="0"/>
              <w:jc w:val="both"/>
            </w:pPr>
            <w:r>
              <w:rPr>
                <w:sz w:val="20"/>
              </w:rPr>
            </w:r>
          </w:p>
        </w:tc>
        <w:tc>
          <w:tcPr>
            <w:tcW w:w="340" w:type="dxa"/>
            <w:tcBorders>
              <w:top w:val="nil"/>
              <w:left w:val="nil"/>
              <w:bottom w:val="nil"/>
            </w:tcBorders>
          </w:tcPr>
          <w:p>
            <w:pPr>
              <w:pStyle w:val="0"/>
              <w:jc w:val="both"/>
            </w:pPr>
            <w:r>
              <w:rPr>
                <w:sz w:val="20"/>
              </w:rPr>
            </w:r>
          </w:p>
        </w:tc>
        <w:tc>
          <w:tcPr>
            <w:tcW w:w="567" w:type="dxa"/>
          </w:tcPr>
          <w:p>
            <w:pPr>
              <w:pStyle w:val="0"/>
              <w:jc w:val="both"/>
            </w:pPr>
            <w:r>
              <w:rPr>
                <w:sz w:val="20"/>
              </w:rPr>
            </w:r>
          </w:p>
        </w:tc>
        <w:tc>
          <w:tcPr>
            <w:tcW w:w="510" w:type="dxa"/>
          </w:tcPr>
          <w:p>
            <w:pPr>
              <w:pStyle w:val="0"/>
              <w:jc w:val="both"/>
            </w:pPr>
            <w:r>
              <w:rPr>
                <w:sz w:val="20"/>
              </w:rPr>
            </w:r>
          </w:p>
        </w:tc>
        <w:tc>
          <w:tcPr>
            <w:tcW w:w="340" w:type="dxa"/>
            <w:tcBorders>
              <w:top w:val="nil"/>
              <w:bottom w:val="nil"/>
            </w:tcBorders>
          </w:tcPr>
          <w:p>
            <w:pPr>
              <w:pStyle w:val="0"/>
              <w:jc w:val="both"/>
            </w:pPr>
            <w:r>
              <w:rPr>
                <w:sz w:val="20"/>
              </w:rPr>
            </w:r>
          </w:p>
        </w:tc>
        <w:tc>
          <w:tcPr>
            <w:tcW w:w="454" w:type="dxa"/>
          </w:tcPr>
          <w:p>
            <w:pPr>
              <w:pStyle w:val="0"/>
              <w:jc w:val="both"/>
            </w:pPr>
            <w:r>
              <w:rPr>
                <w:sz w:val="20"/>
              </w:rPr>
            </w:r>
          </w:p>
        </w:tc>
        <w:tc>
          <w:tcPr>
            <w:tcW w:w="454" w:type="dxa"/>
          </w:tcPr>
          <w:p>
            <w:pPr>
              <w:pStyle w:val="0"/>
              <w:jc w:val="both"/>
            </w:pPr>
            <w:r>
              <w:rPr>
                <w:sz w:val="20"/>
              </w:rPr>
            </w:r>
          </w:p>
        </w:tc>
        <w:tc>
          <w:tcPr>
            <w:tcW w:w="340" w:type="dxa"/>
            <w:tcBorders>
              <w:top w:val="nil"/>
              <w:bottom w:val="nil"/>
            </w:tcBorders>
          </w:tcPr>
          <w:p>
            <w:pPr>
              <w:pStyle w:val="0"/>
              <w:jc w:val="both"/>
            </w:pPr>
            <w:r>
              <w:rPr>
                <w:sz w:val="20"/>
              </w:rPr>
            </w:r>
          </w:p>
        </w:tc>
        <w:tc>
          <w:tcPr>
            <w:tcW w:w="510" w:type="dxa"/>
            <w:vAlign w:val="center"/>
          </w:tcPr>
          <w:p>
            <w:pPr>
              <w:pStyle w:val="0"/>
              <w:jc w:val="center"/>
            </w:pPr>
            <w:r>
              <w:rPr>
                <w:sz w:val="20"/>
              </w:rPr>
              <w:t xml:space="preserve">2</w:t>
            </w:r>
          </w:p>
        </w:tc>
        <w:tc>
          <w:tcPr>
            <w:tcW w:w="397" w:type="dxa"/>
            <w:vAlign w:val="center"/>
          </w:tcPr>
          <w:p>
            <w:pPr>
              <w:pStyle w:val="0"/>
              <w:jc w:val="center"/>
            </w:pPr>
            <w:r>
              <w:rPr>
                <w:sz w:val="20"/>
              </w:rPr>
              <w:t xml:space="preserve">0</w:t>
            </w:r>
          </w:p>
        </w:tc>
        <w:tc>
          <w:tcPr>
            <w:tcW w:w="454" w:type="dxa"/>
          </w:tcPr>
          <w:p>
            <w:pPr>
              <w:pStyle w:val="0"/>
              <w:jc w:val="both"/>
            </w:pPr>
            <w:r>
              <w:rPr>
                <w:sz w:val="20"/>
              </w:rPr>
            </w:r>
          </w:p>
        </w:tc>
        <w:tc>
          <w:tcPr>
            <w:tcW w:w="567" w:type="dxa"/>
          </w:tcPr>
          <w:p>
            <w:pPr>
              <w:pStyle w:val="0"/>
              <w:jc w:val="both"/>
            </w:pPr>
            <w:r>
              <w:rPr>
                <w:sz w:val="20"/>
              </w:rPr>
            </w:r>
          </w:p>
        </w:tc>
        <w:tc>
          <w:tcPr>
            <w:tcW w:w="567" w:type="dxa"/>
            <w:vAlign w:val="bottom"/>
            <w:tcBorders>
              <w:top w:val="nil"/>
              <w:bottom w:val="nil"/>
              <w:right w:val="nil"/>
            </w:tcBorders>
          </w:tcPr>
          <w:p>
            <w:pPr>
              <w:pStyle w:val="0"/>
            </w:pPr>
            <w:r>
              <w:rPr>
                <w:sz w:val="20"/>
              </w:rPr>
              <w:t xml:space="preserve">г.</w:t>
            </w:r>
          </w:p>
        </w:tc>
      </w:tr>
      <w:tr>
        <w:tblPrEx>
          <w:tblBorders>
            <w:insideV w:val="nil"/>
            <w:insideH w:val="nil"/>
          </w:tblBorders>
        </w:tblPrEx>
        <w:tc>
          <w:tcPr>
            <w:tcW w:w="1247" w:type="dxa"/>
            <w:tcBorders>
              <w:top w:val="nil"/>
              <w:bottom w:val="nil"/>
            </w:tcBorders>
          </w:tcPr>
          <w:p>
            <w:pPr>
              <w:pStyle w:val="0"/>
              <w:jc w:val="both"/>
            </w:pPr>
            <w:r>
              <w:rPr>
                <w:sz w:val="20"/>
              </w:rPr>
            </w:r>
          </w:p>
        </w:tc>
        <w:tc>
          <w:tcPr>
            <w:tcW w:w="2324" w:type="dxa"/>
            <w:tcBorders>
              <w:bottom w:val="nil"/>
            </w:tcBorders>
          </w:tcPr>
          <w:p>
            <w:pPr>
              <w:pStyle w:val="0"/>
              <w:jc w:val="center"/>
            </w:pPr>
            <w:r>
              <w:rPr>
                <w:sz w:val="20"/>
              </w:rPr>
              <w:t xml:space="preserve">подпись гл. бухгалтера (иного уполномоченного лица)</w:t>
            </w:r>
          </w:p>
        </w:tc>
        <w:tc>
          <w:tcPr>
            <w:tcW w:w="340" w:type="dxa"/>
            <w:tcBorders>
              <w:top w:val="nil"/>
              <w:bottom w:val="nil"/>
            </w:tcBorders>
          </w:tcPr>
          <w:p>
            <w:pPr>
              <w:pStyle w:val="0"/>
              <w:jc w:val="both"/>
            </w:pPr>
            <w:r>
              <w:rPr>
                <w:sz w:val="20"/>
              </w:rPr>
            </w:r>
          </w:p>
        </w:tc>
        <w:tc>
          <w:tcPr>
            <w:gridSpan w:val="11"/>
            <w:tcW w:w="5160" w:type="dxa"/>
            <w:tcBorders>
              <w:top w:val="nil"/>
              <w:bottom w:val="nil"/>
            </w:tcBorders>
          </w:tcPr>
          <w:p>
            <w:pPr>
              <w:pStyle w:val="0"/>
              <w:jc w:val="both"/>
            </w:pPr>
            <w:r>
              <w:rPr>
                <w:sz w:val="20"/>
              </w:rPr>
              <w:t xml:space="preserve">цифрами: день, месяц, год</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Минцифры России от 10.11.2021 N 1164</w:t>
            <w:br/>
            <w:t>"Об утверждении Порядка и Формы представления сведений о базе расчета обязат...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15.01.2014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E3F5EE8D0B398594B856912B3C1F3711B81AC8A552FBA86A6D428960822C0A5B14F8CF984E9B9369821730ECC199E925220753E195340Ai545S" TargetMode = "External"/>
	<Relationship Id="rId8" Type="http://schemas.openxmlformats.org/officeDocument/2006/relationships/hyperlink" Target="consultantplus://offline/ref=89E3F5EE8D0B398594B856912B3C1F3711BB18C8A25EFBA86A6D428960822C0A5B14F8CC9E4991C739CD166CA9918AE821220552FEi943S" TargetMode = "External"/>
	<Relationship Id="rId9" Type="http://schemas.openxmlformats.org/officeDocument/2006/relationships/hyperlink" Target="consultantplus://offline/ref=89E3F5EE8D0B398594B856912B3C1F3711BB18C8A25EFBA86A6D428960822C0A5B14F8CF9F4B91C739CD166CA9918AE821220552FEi943S" TargetMode = "External"/>
	<Relationship Id="rId10" Type="http://schemas.openxmlformats.org/officeDocument/2006/relationships/hyperlink" Target="consultantplus://offline/ref=89E3F5EE8D0B398594B856912B3C1F3711BB18C8A25EFBA86A6D428960822C0A5B14F8CC9D4D91C739CD166CA9918AE821220552FEi943S" TargetMode = "External"/>
	<Relationship Id="rId11" Type="http://schemas.openxmlformats.org/officeDocument/2006/relationships/hyperlink" Target="consultantplus://offline/ref=89E3F5EE8D0B398594B856912B3C1F3714B11EC6A052FBA86A6D428960822C0A4914A0C3994B849369974161A9i940S" TargetMode = "External"/>
	<Relationship Id="rId12" Type="http://schemas.openxmlformats.org/officeDocument/2006/relationships/hyperlink" Target="consultantplus://offline/ref=89E3F5EE8D0B398594B856912B3C1F371CB81BCDA25DA6A262344E8B678D730F5C05F8CF9D509A92768B4360iA4CS" TargetMode = "External"/>
	<Relationship Id="rId13" Type="http://schemas.openxmlformats.org/officeDocument/2006/relationships/hyperlink" Target="consultantplus://offline/ref=89E3F5EE8D0B398594B856912B3C1F3713B818C7A65DA6A262344E8B678D730F5C05F8CF9D509A92768B4360iA4CS" TargetMode = "External"/>
	<Relationship Id="rId14" Type="http://schemas.openxmlformats.org/officeDocument/2006/relationships/hyperlink" Target="consultantplus://offline/ref=89E3F5EE8D0B398594B856912B3C1F3714B11EC9A356FBA86A6D428960822C0A4914A0C3994B849369974161A9i940S"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Минцифры России от 10.11.2021 N 1164
"Об утверждении Порядка и Формы представления сведений о базе расчета обязательных отчислений (неналоговых платежей) в резерв универсального обслуживания"
(Зарегистрировано в Минюсте России 25.03.2022 N 67901)</dc:title>
  <dcterms:created xsi:type="dcterms:W3CDTF">2014-01-15T18:56:32Z</dcterms:created>
</cp:coreProperties>
</file>