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06" w:rsidRPr="00D25306" w:rsidRDefault="00D25306" w:rsidP="00D253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sz w:val="28"/>
        </w:rPr>
      </w:pPr>
      <w:bookmarkStart w:id="0" w:name="_Toc510816185"/>
      <w:bookmarkStart w:id="1" w:name="_Toc124867830"/>
      <w:r w:rsidRPr="00D25306">
        <w:rPr>
          <w:rFonts w:ascii="Times New Roman" w:eastAsia="Arial Unicode MS" w:hAnsi="Times New Roman" w:cs="Times New Roman"/>
          <w:bCs/>
          <w:sz w:val="28"/>
        </w:rPr>
        <w:t>1. СВЕДЕНИЯ О ВЫП</w:t>
      </w:r>
      <w:r w:rsidRPr="00D25306">
        <w:rPr>
          <w:rFonts w:ascii="Times New Roman" w:hAnsi="Times New Roman" w:cs="Times New Roman"/>
          <w:bCs/>
          <w:sz w:val="28"/>
        </w:rPr>
        <w:t>ОЛНЕНИИ ПОЛНОМОЧИЙ, ВОЗЛОЖЕННЫХ</w:t>
      </w:r>
      <w:r w:rsidRPr="00D25306">
        <w:rPr>
          <w:rFonts w:ascii="Times New Roman" w:hAnsi="Times New Roman" w:cs="Times New Roman"/>
          <w:bCs/>
          <w:sz w:val="28"/>
        </w:rPr>
        <w:br/>
      </w:r>
      <w:r w:rsidRPr="00D25306">
        <w:rPr>
          <w:rFonts w:ascii="Times New Roman" w:eastAsia="Arial Unicode MS" w:hAnsi="Times New Roman" w:cs="Times New Roman"/>
          <w:bCs/>
          <w:sz w:val="28"/>
        </w:rPr>
        <w:t>НА ТЕРРИТОРИАЛЬНЫЙ ОРГАН РОСКОМНАДЗОРА</w:t>
      </w:r>
      <w:bookmarkEnd w:id="0"/>
      <w:bookmarkEnd w:id="1"/>
    </w:p>
    <w:p w:rsidR="00D25306" w:rsidRPr="00D25306" w:rsidRDefault="00D25306" w:rsidP="00D25306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2" w:name="_Toc472886812"/>
      <w:bookmarkStart w:id="3" w:name="_Toc479666280"/>
      <w:bookmarkStart w:id="4" w:name="_Toc503986387"/>
      <w:bookmarkStart w:id="5" w:name="_Toc510816186"/>
      <w:bookmarkStart w:id="6" w:name="_Toc124867831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t>1.1.</w:t>
      </w:r>
      <w:bookmarkEnd w:id="2"/>
      <w:bookmarkEnd w:id="3"/>
      <w:bookmarkEnd w:id="4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t> Общие сведения об объектах и предметах надзора</w:t>
      </w:r>
      <w:bookmarkEnd w:id="5"/>
      <w:bookmarkEnd w:id="6"/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bookmarkStart w:id="7" w:name="_Toc479666281"/>
      <w:bookmarkStart w:id="8" w:name="_Toc503986388"/>
      <w:bookmarkStart w:id="9" w:name="_Toc510816187"/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 xml:space="preserve">Управление Федеральной службы по надзору в сфере связи, информационных технологий и массовых коммуникаций по Центральному федеральному округу (далее – Управление) осуществляет свою деятельность в соответствии с Положением об Управлении, утвержденным Приказом Руководителя Федеральной службы по надзору в сфере связи, информационных технологий и массовых коммуникаций (далее – </w:t>
      </w:r>
      <w:proofErr w:type="spellStart"/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Роскомнадзор</w:t>
      </w:r>
      <w:proofErr w:type="spellEnd"/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) от 25.01.2016 № 38.</w:t>
      </w:r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За 2022 год на территории Москвы и Московской области (московского региона) осуществляли деятельность 205 443 субъекта надзора. В целом количество субъектов надзора в сравнении с 2021 годом возросло в 6 раз, что отражено на диаграмме 1.</w:t>
      </w:r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i/>
          <w:sz w:val="28"/>
          <w:szCs w:val="20"/>
          <w:u w:color="000000"/>
          <w:lang w:eastAsia="ru-RU"/>
        </w:rPr>
        <w:t>Диаграмма 1</w:t>
      </w:r>
    </w:p>
    <w:p w:rsidR="00D25306" w:rsidRPr="00D25306" w:rsidRDefault="00D25306" w:rsidP="00D253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D25306">
        <w:rPr>
          <w:rFonts w:ascii="Calibri" w:eastAsia="Calibri" w:hAnsi="Calibri" w:cs="Times New Roman"/>
          <w:noProof/>
          <w:szCs w:val="28"/>
          <w:u w:color="000000"/>
          <w:bdr w:val="nil"/>
          <w:lang w:eastAsia="ru-RU"/>
        </w:rPr>
        <w:drawing>
          <wp:inline distT="0" distB="0" distL="0" distR="0" wp14:anchorId="494F5B97" wp14:editId="047995D6">
            <wp:extent cx="5899868" cy="3307742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5306" w:rsidRPr="00D25306" w:rsidRDefault="00D25306" w:rsidP="00D253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Значительный рост операторов персональных данных связан со вступлением в силу с 1 сентября 2022 года изменений в часть 2 статьи 22 </w:t>
      </w:r>
      <w:r w:rsidRPr="00D25306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Федерального закона от 27.07.2006 № 152-ФЗ «О персональных данных» (далее – Закона № 152-ФЗ).</w:t>
      </w:r>
    </w:p>
    <w:p w:rsidR="00D25306" w:rsidRPr="00D25306" w:rsidRDefault="00D25306" w:rsidP="00D25306">
      <w:pPr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hAnsi="Times New Roman"/>
          <w:sz w:val="28"/>
        </w:rPr>
        <w:br w:type="page"/>
      </w:r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lastRenderedPageBreak/>
        <w:t>Сведения об объектах надзора, подлежащих контролю в рамках осуществления полномочий, возложенных на Управление, приведены в таблицах 1 и 2.</w:t>
      </w:r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</w:p>
    <w:p w:rsidR="00D25306" w:rsidRPr="00D25306" w:rsidRDefault="00D25306" w:rsidP="00D25306">
      <w:pPr>
        <w:tabs>
          <w:tab w:val="left" w:pos="119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</w:rPr>
      </w:pPr>
      <w:r w:rsidRPr="00D25306">
        <w:rPr>
          <w:rFonts w:ascii="Times New Roman" w:hAnsi="Times New Roman"/>
          <w:i/>
          <w:sz w:val="28"/>
        </w:rPr>
        <w:t>Таблица 1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36"/>
        <w:gridCol w:w="2514"/>
      </w:tblGrid>
      <w:tr w:rsidR="00D25306" w:rsidRPr="00D25306" w:rsidTr="003D0284">
        <w:trPr>
          <w:trHeight w:val="287"/>
        </w:trPr>
        <w:tc>
          <w:tcPr>
            <w:tcW w:w="9450" w:type="dxa"/>
            <w:gridSpan w:val="2"/>
            <w:tcBorders>
              <w:bottom w:val="nil"/>
            </w:tcBorders>
            <w:shd w:val="clear" w:color="auto" w:fill="C6D9F1" w:themeFill="text2" w:themeFillTint="33"/>
            <w:noWrap/>
            <w:vAlign w:val="center"/>
          </w:tcPr>
          <w:p w:rsidR="00D25306" w:rsidRPr="00D25306" w:rsidRDefault="00D25306" w:rsidP="00D25306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лицензиях, действующих на территории московского региона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tcBorders>
              <w:top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D25306" w:rsidRPr="00D25306" w:rsidRDefault="00D25306" w:rsidP="00D2530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деятельности</w:t>
            </w:r>
          </w:p>
        </w:tc>
        <w:tc>
          <w:tcPr>
            <w:tcW w:w="2514" w:type="dxa"/>
            <w:tcBorders>
              <w:top w:val="nil"/>
              <w:lef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D25306" w:rsidRPr="00D25306" w:rsidRDefault="00D25306" w:rsidP="00D25306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D25306" w:rsidRPr="00D25306" w:rsidTr="003D0284">
        <w:trPr>
          <w:trHeight w:val="321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D25306" w:rsidRPr="00D25306" w:rsidRDefault="00D25306" w:rsidP="00D253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eastAsia="Times New Roman" w:hAnsi="Times New Roman" w:cs="Times New Roman"/>
                <w:sz w:val="26"/>
                <w:szCs w:val="26"/>
                <w:u w:color="000000"/>
                <w:bdr w:val="nil"/>
                <w:lang w:val="en-US" w:eastAsia="ru-RU"/>
              </w:rPr>
              <w:t xml:space="preserve">(ТЛМ) </w:t>
            </w:r>
            <w:proofErr w:type="spellStart"/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Телематические</w:t>
            </w:r>
            <w:proofErr w:type="spellEnd"/>
            <w:r w:rsidRPr="00D25306">
              <w:rPr>
                <w:rFonts w:ascii="Times New Roman" w:hAnsi="Times New Roman" w:cs="Times New Roman"/>
                <w:sz w:val="26"/>
                <w:szCs w:val="26"/>
              </w:rPr>
              <w:t xml:space="preserve"> услуги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D25306" w:rsidRPr="00D25306" w:rsidRDefault="00D25306" w:rsidP="00D25306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718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D25306" w:rsidRPr="00D25306" w:rsidRDefault="00D25306" w:rsidP="00D253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(ПД)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D25306" w:rsidRPr="00D25306" w:rsidRDefault="00D25306" w:rsidP="00D25306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3027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(АК) Услуги связи по предоставлению каналов связи</w:t>
            </w:r>
          </w:p>
        </w:tc>
        <w:tc>
          <w:tcPr>
            <w:tcW w:w="2514" w:type="dxa"/>
            <w:shd w:val="clear" w:color="auto" w:fill="FFFFFF" w:themeFill="background1"/>
            <w:noWrap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1735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(МТ</w:t>
            </w:r>
            <w:proofErr w:type="gramStart"/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)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14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(ПГИПД) Услуги связи по передаче данных для целей передачи голосовой информации</w:t>
            </w:r>
          </w:p>
        </w:tc>
        <w:tc>
          <w:tcPr>
            <w:tcW w:w="2514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1005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(СКТВ) Услуги связи для целей кабельного вещания</w:t>
            </w:r>
          </w:p>
        </w:tc>
        <w:tc>
          <w:tcPr>
            <w:tcW w:w="2514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(ПС) Услуги почтовой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bottom"/>
            <w:hideMark/>
          </w:tcPr>
          <w:p w:rsidR="00D25306" w:rsidRPr="00D25306" w:rsidRDefault="00D25306" w:rsidP="00D25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(ЭФ) Услуги связи для целей эфирного вещания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bottom"/>
            <w:hideMark/>
          </w:tcPr>
          <w:p w:rsidR="00D25306" w:rsidRPr="00D25306" w:rsidRDefault="00D25306" w:rsidP="00D25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169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(МТЗ) Услуги внутризоновой телефонной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bottom"/>
            <w:hideMark/>
          </w:tcPr>
          <w:p w:rsidR="00D25306" w:rsidRPr="00D25306" w:rsidRDefault="00D25306" w:rsidP="00D25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(ПКП) Услуги местной телефонной связи с использованием средств коллективного доступа</w:t>
            </w:r>
          </w:p>
        </w:tc>
        <w:tc>
          <w:tcPr>
            <w:tcW w:w="2514" w:type="dxa"/>
            <w:shd w:val="clear" w:color="auto" w:fill="FFFFFF" w:themeFill="background1"/>
            <w:noWrap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(ПВ) Услуги связи для целей проводного радиовещания</w:t>
            </w:r>
          </w:p>
        </w:tc>
        <w:tc>
          <w:tcPr>
            <w:tcW w:w="2514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(РТС) Услуги подвижной радиотелефонной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(МНМГ) Услуги междугородной и международной телефонной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(РС) Услуги подвижной радиосвязи в выделенной сети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(ТФВС) Услуги телефонной связи в выделенной сети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(ТГ) Услуги телеграфной связи</w:t>
            </w:r>
          </w:p>
        </w:tc>
        <w:tc>
          <w:tcPr>
            <w:tcW w:w="2514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(РТ) Услуги подвижной радиосвязи в сети связи общего пользования</w:t>
            </w:r>
          </w:p>
        </w:tc>
        <w:tc>
          <w:tcPr>
            <w:tcW w:w="2514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(ТАКС) Услуги местной телефонной связи с использованием таксофонов</w:t>
            </w:r>
          </w:p>
        </w:tc>
        <w:tc>
          <w:tcPr>
            <w:tcW w:w="2514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(СПРС) Услуги подвижной спутниковой радиосвязи</w:t>
            </w:r>
          </w:p>
        </w:tc>
        <w:tc>
          <w:tcPr>
            <w:tcW w:w="2514" w:type="dxa"/>
            <w:shd w:val="clear" w:color="auto" w:fill="FFFFFF" w:themeFill="background1"/>
            <w:noWrap/>
            <w:hideMark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25306" w:rsidRPr="00D25306" w:rsidTr="003D0284">
        <w:trPr>
          <w:trHeight w:val="287"/>
        </w:trPr>
        <w:tc>
          <w:tcPr>
            <w:tcW w:w="6936" w:type="dxa"/>
            <w:shd w:val="clear" w:color="auto" w:fill="FFFFFF" w:themeFill="background1"/>
            <w:noWrap/>
            <w:vAlign w:val="center"/>
            <w:hideMark/>
          </w:tcPr>
          <w:p w:rsidR="00D25306" w:rsidRPr="00D25306" w:rsidRDefault="00D25306" w:rsidP="00D2530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ИТОГ</w:t>
            </w:r>
          </w:p>
        </w:tc>
        <w:tc>
          <w:tcPr>
            <w:tcW w:w="2514" w:type="dxa"/>
            <w:shd w:val="clear" w:color="auto" w:fill="FFFFFF" w:themeFill="background1"/>
            <w:noWrap/>
            <w:vAlign w:val="center"/>
            <w:hideMark/>
          </w:tcPr>
          <w:p w:rsidR="00D25306" w:rsidRPr="00D25306" w:rsidRDefault="00D25306" w:rsidP="00D25306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479</w:t>
            </w:r>
          </w:p>
        </w:tc>
      </w:tr>
    </w:tbl>
    <w:p w:rsidR="00D25306" w:rsidRPr="00D25306" w:rsidRDefault="00D25306" w:rsidP="00D25306">
      <w:pPr>
        <w:tabs>
          <w:tab w:val="left" w:pos="119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</w:rPr>
      </w:pPr>
    </w:p>
    <w:p w:rsidR="00D25306" w:rsidRPr="00D25306" w:rsidRDefault="00D25306" w:rsidP="00D25306">
      <w:pPr>
        <w:tabs>
          <w:tab w:val="left" w:pos="119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</w:rPr>
      </w:pPr>
    </w:p>
    <w:p w:rsidR="00D25306" w:rsidRPr="00D25306" w:rsidRDefault="00D25306" w:rsidP="00D25306">
      <w:pPr>
        <w:tabs>
          <w:tab w:val="left" w:pos="119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</w:rPr>
      </w:pPr>
      <w:r w:rsidRPr="00D25306">
        <w:rPr>
          <w:rFonts w:ascii="Times New Roman" w:hAnsi="Times New Roman"/>
          <w:i/>
          <w:sz w:val="28"/>
        </w:rPr>
        <w:t>Таблица 2</w:t>
      </w:r>
    </w:p>
    <w:tbl>
      <w:tblPr>
        <w:tblStyle w:val="a3"/>
        <w:tblW w:w="9493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13"/>
        <w:gridCol w:w="1448"/>
        <w:gridCol w:w="1150"/>
        <w:gridCol w:w="1582"/>
      </w:tblGrid>
      <w:tr w:rsidR="00D25306" w:rsidRPr="00D25306" w:rsidTr="003D0284">
        <w:trPr>
          <w:trHeight w:val="18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5306" w:rsidRPr="00D25306" w:rsidRDefault="00D25306" w:rsidP="00D2530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объектах надзора в реестрах</w:t>
            </w:r>
          </w:p>
        </w:tc>
      </w:tr>
      <w:tr w:rsidR="00D25306" w:rsidRPr="00D25306" w:rsidTr="003D0284">
        <w:trPr>
          <w:trHeight w:val="387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D25306" w:rsidRPr="00D25306" w:rsidRDefault="00D25306" w:rsidP="00D2530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Pr="00D253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D25306" w:rsidRPr="00D25306" w:rsidRDefault="00D25306" w:rsidP="00D25306">
            <w:pPr>
              <w:ind w:hanging="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25306" w:rsidRPr="00D25306" w:rsidRDefault="00D25306" w:rsidP="00D25306">
            <w:pPr>
              <w:ind w:hanging="102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Динамика</w:t>
            </w:r>
          </w:p>
        </w:tc>
      </w:tr>
      <w:tr w:rsidR="00D25306" w:rsidRPr="00D25306" w:rsidTr="003D0284">
        <w:trPr>
          <w:trHeight w:val="139"/>
        </w:trPr>
        <w:tc>
          <w:tcPr>
            <w:tcW w:w="53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</w:pP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>Количество франкировальных машин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</w:pP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</w:pP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 w:eastAsia="ru-RU"/>
              </w:rPr>
            </w:pP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>-</w:t>
            </w:r>
          </w:p>
        </w:tc>
      </w:tr>
      <w:tr w:rsidR="00D25306" w:rsidRPr="00D25306" w:rsidTr="003D0284">
        <w:trPr>
          <w:trHeight w:val="184"/>
        </w:trPr>
        <w:tc>
          <w:tcPr>
            <w:tcW w:w="5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</w:pP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>Количество радиоэлектронных средств (дале</w:t>
            </w:r>
            <w:proofErr w:type="gramStart"/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>е-</w:t>
            </w:r>
            <w:proofErr w:type="gramEnd"/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 xml:space="preserve"> РЭС)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</w:pP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>395 623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 w:eastAsia="ru-RU"/>
              </w:rPr>
            </w:pP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 w:eastAsia="ru-RU"/>
              </w:rPr>
              <w:t>448</w:t>
            </w: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> </w:t>
            </w: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 w:eastAsia="ru-RU"/>
              </w:rPr>
              <w:t>536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</w:pP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>↑</w:t>
            </w: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 w:eastAsia="ru-RU"/>
              </w:rPr>
              <w:t>13</w:t>
            </w: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>%</w:t>
            </w:r>
          </w:p>
        </w:tc>
      </w:tr>
      <w:tr w:rsidR="00D25306" w:rsidRPr="00D25306" w:rsidTr="003D0284">
        <w:trPr>
          <w:trHeight w:val="139"/>
        </w:trPr>
        <w:tc>
          <w:tcPr>
            <w:tcW w:w="5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</w:pP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 xml:space="preserve">Количество высокочастотных устройств </w:t>
            </w: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lastRenderedPageBreak/>
              <w:t>(далее – ВЧУ)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</w:pP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lastRenderedPageBreak/>
              <w:t>9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</w:pP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>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658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</w:pP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>↓45%</w:t>
            </w:r>
          </w:p>
        </w:tc>
      </w:tr>
      <w:tr w:rsidR="00D25306" w:rsidRPr="00D25306" w:rsidTr="003D0284">
        <w:trPr>
          <w:trHeight w:val="139"/>
        </w:trPr>
        <w:tc>
          <w:tcPr>
            <w:tcW w:w="5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</w:pP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lastRenderedPageBreak/>
              <w:t>Количество средств массовой информации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 w:eastAsia="ru-RU"/>
              </w:rPr>
            </w:pP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>15</w:t>
            </w: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 w:eastAsia="ru-RU"/>
              </w:rPr>
              <w:t>31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 w:eastAsia="ru-RU"/>
              </w:rPr>
            </w:pP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 w:eastAsia="ru-RU"/>
              </w:rPr>
              <w:t>1289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658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</w:pP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>↓</w:t>
            </w: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 w:eastAsia="ru-RU"/>
              </w:rPr>
              <w:t>16</w:t>
            </w:r>
            <w:r w:rsidRPr="00D25306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eastAsia="ru-RU"/>
              </w:rPr>
              <w:t>%</w:t>
            </w:r>
          </w:p>
        </w:tc>
      </w:tr>
    </w:tbl>
    <w:p w:rsidR="00D25306" w:rsidRPr="00D25306" w:rsidRDefault="00D25306" w:rsidP="00D25306">
      <w:pPr>
        <w:tabs>
          <w:tab w:val="left" w:pos="119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</w:p>
    <w:p w:rsidR="00D25306" w:rsidRPr="00D25306" w:rsidRDefault="00D25306" w:rsidP="00D25306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10" w:name="_Toc124867832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t>1.2.</w:t>
      </w:r>
      <w:bookmarkEnd w:id="7"/>
      <w:bookmarkEnd w:id="8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t> Результаты контрольно-надзорной деятельности</w:t>
      </w:r>
      <w:bookmarkStart w:id="11" w:name="_Toc472886814"/>
      <w:bookmarkStart w:id="12" w:name="_Toc479666282"/>
      <w:bookmarkStart w:id="13" w:name="_Toc503986389"/>
      <w:bookmarkStart w:id="14" w:name="_Toc510816188"/>
      <w:bookmarkEnd w:id="9"/>
      <w:bookmarkEnd w:id="10"/>
    </w:p>
    <w:p w:rsidR="00D25306" w:rsidRPr="00D25306" w:rsidRDefault="00D25306" w:rsidP="00D25306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15" w:name="_Toc124867833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t>1.2.1.</w:t>
      </w:r>
      <w:bookmarkEnd w:id="11"/>
      <w:bookmarkEnd w:id="12"/>
      <w:bookmarkEnd w:id="13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t> Результаты проведения плановых проверок юридических лиц</w:t>
      </w:r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br/>
        <w:t>(их филиалов, представительств, обособленных подразделений)</w:t>
      </w:r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br/>
        <w:t xml:space="preserve">и индивидуальных предпринимателей (ИП) и плановых мероприятий </w:t>
      </w:r>
      <w:bookmarkEnd w:id="14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t>без взаимодействия с проверяемыми лицами</w:t>
      </w:r>
      <w:bookmarkEnd w:id="15"/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План контрольных (надзорных) мероприятий Управления Федеральной службы по надзору в сфере связи, информационных технологий и массовых коммуникаций по Центральному федеральному округу (далее – Управление) на 2022 год утвержден приказом руководителя Управления от 01.11.2021 № 213 (далее – План деятельности).</w:t>
      </w:r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В соответствии Планом деятельности на 2022 год Управлением запланировано 572 мероприятия государственного контроля (надзора).</w:t>
      </w:r>
    </w:p>
    <w:p w:rsidR="00D25306" w:rsidRPr="00D25306" w:rsidRDefault="00D25306" w:rsidP="00D25306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hAnsi="Times New Roman"/>
          <w:i/>
          <w:sz w:val="28"/>
        </w:rPr>
      </w:pPr>
      <w:r w:rsidRPr="00D25306">
        <w:rPr>
          <w:rFonts w:ascii="Times New Roman" w:hAnsi="Times New Roman"/>
          <w:i/>
          <w:sz w:val="28"/>
        </w:rPr>
        <w:t>Таблица 3</w:t>
      </w:r>
    </w:p>
    <w:tbl>
      <w:tblPr>
        <w:tblStyle w:val="a3"/>
        <w:tblW w:w="920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114"/>
      </w:tblGrid>
      <w:tr w:rsidR="00D25306" w:rsidRPr="00D25306" w:rsidTr="003D0284">
        <w:trPr>
          <w:trHeight w:val="286"/>
        </w:trPr>
        <w:tc>
          <w:tcPr>
            <w:tcW w:w="9202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D25306" w:rsidRPr="00D25306" w:rsidRDefault="00D25306" w:rsidP="00D25306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контрольных (надзорных) мероприятиях</w:t>
            </w:r>
          </w:p>
        </w:tc>
      </w:tr>
      <w:tr w:rsidR="00D25306" w:rsidRPr="00D25306" w:rsidTr="003D0284">
        <w:trPr>
          <w:trHeight w:val="179"/>
        </w:trPr>
        <w:tc>
          <w:tcPr>
            <w:tcW w:w="4678" w:type="dxa"/>
            <w:tcBorders>
              <w:top w:val="nil"/>
              <w:right w:val="nil"/>
            </w:tcBorders>
            <w:shd w:val="clear" w:color="auto" w:fill="C6D9F1" w:themeFill="text2" w:themeFillTint="33"/>
          </w:tcPr>
          <w:p w:rsidR="00D25306" w:rsidRPr="00D25306" w:rsidRDefault="00D25306" w:rsidP="00D253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D25306" w:rsidRPr="00D25306" w:rsidRDefault="00D25306" w:rsidP="00D25306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2114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:rsidR="00D25306" w:rsidRPr="00D25306" w:rsidRDefault="00D25306" w:rsidP="00D25306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</w:tr>
      <w:tr w:rsidR="00D25306" w:rsidRPr="00D25306" w:rsidTr="003D0284">
        <w:trPr>
          <w:trHeight w:val="15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5306" w:rsidRPr="00D25306" w:rsidRDefault="00D25306" w:rsidP="00D253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Всего запланировано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5306" w:rsidRPr="00D25306" w:rsidRDefault="00D25306" w:rsidP="00D253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D2530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696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</w:p>
        </w:tc>
      </w:tr>
      <w:tr w:rsidR="00D25306" w:rsidRPr="00D25306" w:rsidTr="003D0284">
        <w:trPr>
          <w:trHeight w:val="161"/>
        </w:trPr>
        <w:tc>
          <w:tcPr>
            <w:tcW w:w="9202" w:type="dxa"/>
            <w:gridSpan w:val="3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Плановые проверки</w:t>
            </w:r>
          </w:p>
        </w:tc>
      </w:tr>
      <w:tr w:rsidR="00D25306" w:rsidRPr="00D25306" w:rsidTr="003D0284">
        <w:trPr>
          <w:trHeight w:val="168"/>
        </w:trPr>
        <w:tc>
          <w:tcPr>
            <w:tcW w:w="4678" w:type="dxa"/>
            <w:shd w:val="clear" w:color="auto" w:fill="FFFFFF" w:themeFill="background1"/>
          </w:tcPr>
          <w:p w:rsidR="00D25306" w:rsidRPr="00D25306" w:rsidRDefault="00D25306" w:rsidP="00D253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Запланировано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D25306" w:rsidRPr="00D25306" w:rsidRDefault="00D25306" w:rsidP="00D253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D2530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35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D25306" w:rsidRPr="00D25306" w:rsidTr="003D0284">
        <w:trPr>
          <w:trHeight w:val="161"/>
        </w:trPr>
        <w:tc>
          <w:tcPr>
            <w:tcW w:w="4678" w:type="dxa"/>
            <w:shd w:val="clear" w:color="auto" w:fill="FFFFFF" w:themeFill="background1"/>
          </w:tcPr>
          <w:p w:rsidR="00D25306" w:rsidRPr="00D25306" w:rsidRDefault="00D25306" w:rsidP="00D253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Проведено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D25306" w:rsidRPr="00D25306" w:rsidRDefault="00D25306" w:rsidP="00D253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D2530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20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25306" w:rsidRPr="00D25306" w:rsidTr="003D0284">
        <w:trPr>
          <w:trHeight w:val="161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5306" w:rsidRPr="00D25306" w:rsidRDefault="00D25306" w:rsidP="00D253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Отменено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5306" w:rsidRPr="00D25306" w:rsidRDefault="00D25306" w:rsidP="00D253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D2530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15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D25306" w:rsidRPr="00D25306" w:rsidTr="003D0284">
        <w:trPr>
          <w:trHeight w:val="161"/>
        </w:trPr>
        <w:tc>
          <w:tcPr>
            <w:tcW w:w="9202" w:type="dxa"/>
            <w:gridSpan w:val="3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Плановые мероприятия без взаимодействия</w:t>
            </w:r>
          </w:p>
        </w:tc>
      </w:tr>
      <w:tr w:rsidR="00D25306" w:rsidRPr="00D25306" w:rsidTr="003D0284">
        <w:trPr>
          <w:trHeight w:val="161"/>
        </w:trPr>
        <w:tc>
          <w:tcPr>
            <w:tcW w:w="4678" w:type="dxa"/>
            <w:shd w:val="clear" w:color="auto" w:fill="FFFFFF" w:themeFill="background1"/>
          </w:tcPr>
          <w:p w:rsidR="00D25306" w:rsidRPr="00D25306" w:rsidRDefault="00D25306" w:rsidP="00D253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Запланировано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D25306" w:rsidRPr="00D25306" w:rsidRDefault="00D25306" w:rsidP="00D253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D2530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661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</w:p>
        </w:tc>
      </w:tr>
      <w:tr w:rsidR="00D25306" w:rsidRPr="00D25306" w:rsidTr="003D0284">
        <w:trPr>
          <w:trHeight w:val="161"/>
        </w:trPr>
        <w:tc>
          <w:tcPr>
            <w:tcW w:w="4678" w:type="dxa"/>
            <w:shd w:val="clear" w:color="auto" w:fill="FFFFFF" w:themeFill="background1"/>
          </w:tcPr>
          <w:p w:rsidR="00D25306" w:rsidRPr="00D25306" w:rsidRDefault="00D25306" w:rsidP="00D253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Проведено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D25306" w:rsidRPr="00D25306" w:rsidRDefault="00D25306" w:rsidP="00D253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D2530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616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</w:tr>
      <w:tr w:rsidR="00D25306" w:rsidRPr="00D25306" w:rsidTr="003D0284">
        <w:trPr>
          <w:trHeight w:val="168"/>
        </w:trPr>
        <w:tc>
          <w:tcPr>
            <w:tcW w:w="4678" w:type="dxa"/>
            <w:shd w:val="clear" w:color="auto" w:fill="FFFFFF" w:themeFill="background1"/>
          </w:tcPr>
          <w:p w:rsidR="00D25306" w:rsidRPr="00D25306" w:rsidRDefault="00D25306" w:rsidP="00D253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Отменено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D25306" w:rsidRPr="00D25306" w:rsidRDefault="00D25306" w:rsidP="00D253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D2530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45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D25306" w:rsidRPr="00D25306" w:rsidRDefault="00D25306" w:rsidP="00D2530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 состоянию на 31.12.2022 проведено 22% запланированных проверок юридических лиц (их филиалов, представительств, обособленных структурных подразделений) и индивидуальных предпринимателей и 99% запланированных мероприятий без взаимодействия с проверяемыми лицами.</w:t>
      </w:r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0"/>
          <w:u w:color="000000"/>
          <w:bdr w:val="nil"/>
          <w:lang w:eastAsia="ru-RU"/>
        </w:rPr>
      </w:pPr>
    </w:p>
    <w:p w:rsidR="00D25306" w:rsidRPr="00D25306" w:rsidRDefault="00D25306" w:rsidP="00D25306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16" w:name="_Toc510816189"/>
      <w:bookmarkStart w:id="17" w:name="_Toc124867834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t>1.2.1.1. Сведения о проведенных плановых проверках во взаимодействии</w:t>
      </w:r>
      <w:bookmarkEnd w:id="16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t xml:space="preserve"> с проверяемыми лицами</w:t>
      </w:r>
      <w:bookmarkEnd w:id="17"/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bookmarkStart w:id="18" w:name="_Toc510816190"/>
      <w:bookmarkStart w:id="19" w:name="_Toc472886815"/>
      <w:bookmarkStart w:id="20" w:name="_Toc479666283"/>
      <w:bookmarkStart w:id="21" w:name="_Toc503986390"/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Проведение плановых проверок в 2022 году отменено Решением руководителя Управления от 11.03.2022 № 47 на основании пункта</w:t>
      </w: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br/>
        <w:t>5 постановления Правительства Российской Федерации от 10.03.2022</w:t>
      </w: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br/>
        <w:t>№ 336 «Об особенностях организации и осуществления государственного контроля (надзора), муниципального контроля».</w:t>
      </w:r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В результате проведения плановых проверок в отчетном периоде 2022 года выявлено 21 нарушение, выдано 8 предписаний об устранении выявленных нарушений, составлено 2 протокола об административных </w:t>
      </w:r>
      <w:r w:rsidRPr="00D25306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lastRenderedPageBreak/>
        <w:t>правонарушениях.</w:t>
      </w:r>
    </w:p>
    <w:p w:rsidR="00D25306" w:rsidRPr="00D25306" w:rsidRDefault="00D25306" w:rsidP="00D25306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5306">
        <w:rPr>
          <w:rFonts w:ascii="Times New Roman" w:hAnsi="Times New Roman"/>
          <w:i/>
          <w:sz w:val="28"/>
        </w:rPr>
        <w:t>Таблица 4</w:t>
      </w:r>
    </w:p>
    <w:tbl>
      <w:tblPr>
        <w:tblStyle w:val="a3"/>
        <w:tblW w:w="921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709"/>
        <w:gridCol w:w="851"/>
        <w:gridCol w:w="850"/>
        <w:gridCol w:w="851"/>
        <w:gridCol w:w="850"/>
        <w:gridCol w:w="851"/>
        <w:gridCol w:w="850"/>
      </w:tblGrid>
      <w:tr w:rsidR="00D25306" w:rsidRPr="00D25306" w:rsidTr="003D0284">
        <w:trPr>
          <w:trHeight w:val="211"/>
        </w:trPr>
        <w:tc>
          <w:tcPr>
            <w:tcW w:w="9214" w:type="dxa"/>
            <w:gridSpan w:val="9"/>
            <w:tcBorders>
              <w:bottom w:val="nil"/>
            </w:tcBorders>
            <w:shd w:val="clear" w:color="auto" w:fill="C6D9F1" w:themeFill="text2" w:themeFillTint="33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результатах проведения контрольных (надзорных) мероприятий</w:t>
            </w:r>
          </w:p>
        </w:tc>
      </w:tr>
      <w:tr w:rsidR="00D25306" w:rsidRPr="00D25306" w:rsidTr="003D0284">
        <w:trPr>
          <w:trHeight w:val="240"/>
        </w:trPr>
        <w:tc>
          <w:tcPr>
            <w:tcW w:w="2410" w:type="dxa"/>
            <w:vMerge w:val="restart"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:rsidR="00D25306" w:rsidRPr="00D25306" w:rsidRDefault="00D25306" w:rsidP="00D2530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ОПД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ОС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ПОДФТ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  <w:vAlign w:val="bottom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Вещание</w:t>
            </w:r>
          </w:p>
        </w:tc>
      </w:tr>
      <w:tr w:rsidR="00D25306" w:rsidRPr="00D25306" w:rsidTr="003D0284">
        <w:trPr>
          <w:trHeight w:val="53"/>
        </w:trPr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C6D9F1" w:themeFill="text2" w:themeFillTint="33"/>
          </w:tcPr>
          <w:p w:rsidR="00D25306" w:rsidRPr="00D25306" w:rsidRDefault="00D25306" w:rsidP="00D2530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D25306" w:rsidRPr="00D25306" w:rsidRDefault="00D25306" w:rsidP="00D25306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253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D25306" w:rsidRPr="00D25306" w:rsidRDefault="00D25306" w:rsidP="00D25306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253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02</w:t>
            </w: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D25306" w:rsidRPr="00D25306" w:rsidRDefault="00D25306" w:rsidP="00D25306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253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D25306" w:rsidRPr="00D25306" w:rsidRDefault="00D25306" w:rsidP="00D25306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253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02</w:t>
            </w: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D25306" w:rsidRPr="00D25306" w:rsidRDefault="00D25306" w:rsidP="00D25306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253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D25306" w:rsidRPr="00D25306" w:rsidRDefault="00D25306" w:rsidP="00D25306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253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02</w:t>
            </w: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D25306" w:rsidRPr="00D25306" w:rsidRDefault="00D25306" w:rsidP="00D25306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253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02</w:t>
            </w: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C6D9F1" w:themeFill="text2" w:themeFillTint="33"/>
            <w:vAlign w:val="bottom"/>
          </w:tcPr>
          <w:p w:rsidR="00D25306" w:rsidRPr="00D25306" w:rsidRDefault="00D25306" w:rsidP="00D25306">
            <w:pPr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253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02</w:t>
            </w:r>
            <w:r w:rsidRPr="00D253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25306" w:rsidRPr="00D25306" w:rsidTr="003D0284">
        <w:trPr>
          <w:trHeight w:val="238"/>
        </w:trPr>
        <w:tc>
          <w:tcPr>
            <w:tcW w:w="2410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Нарушения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25306" w:rsidRPr="00D25306" w:rsidTr="003D0284">
        <w:trPr>
          <w:trHeight w:val="183"/>
        </w:trPr>
        <w:tc>
          <w:tcPr>
            <w:tcW w:w="2410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Протоколы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25306" w:rsidRPr="00D25306" w:rsidTr="003D0284">
        <w:trPr>
          <w:trHeight w:val="122"/>
        </w:trPr>
        <w:tc>
          <w:tcPr>
            <w:tcW w:w="2410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Предписания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25306" w:rsidRPr="00D25306" w:rsidRDefault="00D25306" w:rsidP="00D253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</w:tbl>
    <w:p w:rsidR="00D25306" w:rsidRPr="00D25306" w:rsidRDefault="00D25306" w:rsidP="00D253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D25306" w:rsidRPr="00D25306" w:rsidRDefault="00D25306" w:rsidP="00D25306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5306">
        <w:rPr>
          <w:rFonts w:ascii="Times New Roman" w:hAnsi="Times New Roman" w:cs="Times New Roman"/>
          <w:i/>
          <w:sz w:val="28"/>
          <w:szCs w:val="28"/>
        </w:rPr>
        <w:t>Диаграмма</w:t>
      </w:r>
      <w:r w:rsidRPr="00D25306">
        <w:rPr>
          <w:rFonts w:ascii="Times New Roman" w:hAnsi="Times New Roman"/>
          <w:i/>
          <w:sz w:val="28"/>
        </w:rPr>
        <w:t xml:space="preserve"> 2</w:t>
      </w:r>
    </w:p>
    <w:p w:rsidR="00D25306" w:rsidRPr="00D25306" w:rsidRDefault="00D25306" w:rsidP="00D253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D25306">
        <w:rPr>
          <w:rFonts w:ascii="Times New Roman" w:eastAsia="Calibri" w:hAnsi="Times New Roman" w:cs="Times New Roman"/>
          <w:bCs/>
          <w:noProof/>
          <w:sz w:val="28"/>
          <w:szCs w:val="28"/>
          <w:u w:color="000000"/>
          <w:bdr w:val="nil"/>
          <w:lang w:eastAsia="ru-RU"/>
        </w:rPr>
        <w:drawing>
          <wp:inline distT="0" distB="0" distL="0" distR="0" wp14:anchorId="71281D29" wp14:editId="2AF3A9D4">
            <wp:extent cx="5816009" cy="228600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5306" w:rsidRPr="00D25306" w:rsidRDefault="00D25306" w:rsidP="00D253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D25306" w:rsidRPr="00D25306" w:rsidRDefault="00D25306" w:rsidP="00D25306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22" w:name="_Toc124867835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t>1.2.1.2. Сведения о проведенных плановых мероприятиях систематического наблюдения (далее – СН</w:t>
      </w:r>
      <w:bookmarkEnd w:id="18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t>)</w:t>
      </w:r>
      <w:bookmarkEnd w:id="22"/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Из 535 запланированных на 2022 год проведено 530 мероприятий без взаимодействия с проверяемыми лицами, что составляет 99%.</w:t>
      </w:r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Пять</w:t>
      </w:r>
      <w:r w:rsidRPr="00D25306">
        <w:rPr>
          <w:rFonts w:ascii="Times New Roman" w:eastAsia="Times New Roman" w:hAnsi="Times New Roman" w:cs="Times New Roman"/>
          <w:bCs/>
          <w:sz w:val="28"/>
          <w:szCs w:val="20"/>
          <w:u w:color="000000"/>
          <w:lang w:eastAsia="ru-RU"/>
        </w:rPr>
        <w:t xml:space="preserve"> </w:t>
      </w: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плановых мероприятия СН СМИ отменено в связи с решением учредителя средства массовой информации о прекращении его деятельности.</w:t>
      </w:r>
    </w:p>
    <w:p w:rsidR="00D25306" w:rsidRPr="00D25306" w:rsidRDefault="00D25306" w:rsidP="00D253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</w:p>
    <w:p w:rsidR="00D25306" w:rsidRPr="00D25306" w:rsidRDefault="00D25306" w:rsidP="00D25306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5306">
        <w:rPr>
          <w:rFonts w:ascii="Times New Roman" w:hAnsi="Times New Roman" w:cs="Times New Roman"/>
          <w:i/>
          <w:sz w:val="28"/>
          <w:szCs w:val="28"/>
        </w:rPr>
        <w:t>Диаграмма</w:t>
      </w:r>
      <w:r w:rsidRPr="00D25306">
        <w:rPr>
          <w:rFonts w:ascii="Times New Roman" w:hAnsi="Times New Roman"/>
          <w:i/>
          <w:sz w:val="28"/>
        </w:rPr>
        <w:t xml:space="preserve"> 3</w:t>
      </w:r>
    </w:p>
    <w:p w:rsidR="00D25306" w:rsidRPr="00D25306" w:rsidRDefault="00D25306" w:rsidP="00D253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D25306">
        <w:rPr>
          <w:rFonts w:ascii="Times New Roman" w:eastAsia="Calibri" w:hAnsi="Times New Roman" w:cs="Times New Roman"/>
          <w:bCs/>
          <w:noProof/>
          <w:sz w:val="26"/>
          <w:szCs w:val="26"/>
          <w:u w:color="000000"/>
          <w:bdr w:val="nil"/>
          <w:lang w:eastAsia="ru-RU"/>
        </w:rPr>
        <w:drawing>
          <wp:inline distT="0" distB="0" distL="0" distR="0" wp14:anchorId="60C6EE46" wp14:editId="4AAFDF7A">
            <wp:extent cx="5860112" cy="1566407"/>
            <wp:effectExtent l="0" t="0" r="762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За 2022 год по сравнению с 2021 количество выявленных нарушений по итогам проведения плановых мероприятий СН сократилось на 27%</w:t>
      </w:r>
      <w:r w:rsidRPr="00D25306">
        <w:rPr>
          <w:rFonts w:ascii="Times New Roman" w:eastAsia="Times New Roman" w:hAnsi="Times New Roman" w:cs="Times New Roman"/>
          <w:bCs/>
          <w:sz w:val="28"/>
          <w:szCs w:val="20"/>
          <w:u w:color="000000"/>
          <w:lang w:eastAsia="ru-RU"/>
        </w:rPr>
        <w:t>.</w:t>
      </w:r>
      <w:r w:rsidRPr="00D25306">
        <w:rPr>
          <w:rFonts w:ascii="Times New Roman" w:eastAsia="Times New Roman" w:hAnsi="Times New Roman" w:cs="Times New Roman"/>
          <w:bCs/>
          <w:sz w:val="28"/>
          <w:szCs w:val="20"/>
          <w:u w:color="000000"/>
          <w:lang w:eastAsia="ru-RU"/>
        </w:rPr>
        <w:br w:type="page"/>
      </w:r>
    </w:p>
    <w:p w:rsidR="00D25306" w:rsidRPr="00D25306" w:rsidRDefault="00D25306" w:rsidP="00D25306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5306">
        <w:rPr>
          <w:rFonts w:ascii="Times New Roman" w:hAnsi="Times New Roman" w:cs="Times New Roman"/>
          <w:i/>
          <w:sz w:val="28"/>
          <w:szCs w:val="28"/>
        </w:rPr>
        <w:lastRenderedPageBreak/>
        <w:t>Диаграмма</w:t>
      </w:r>
      <w:r w:rsidRPr="00D25306">
        <w:rPr>
          <w:rFonts w:ascii="Times New Roman" w:hAnsi="Times New Roman"/>
          <w:i/>
          <w:sz w:val="28"/>
        </w:rPr>
        <w:t xml:space="preserve"> 4</w:t>
      </w:r>
    </w:p>
    <w:p w:rsidR="00D25306" w:rsidRPr="00D25306" w:rsidRDefault="00D25306" w:rsidP="00D2530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2530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81D2250" wp14:editId="70BA2C7A">
            <wp:extent cx="5860112" cy="1653872"/>
            <wp:effectExtent l="0" t="0" r="762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5306" w:rsidRPr="00D25306" w:rsidRDefault="00D25306" w:rsidP="00D2530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D25306" w:rsidRPr="00D25306" w:rsidRDefault="00D25306" w:rsidP="00D25306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23" w:name="_Toc510816191"/>
      <w:bookmarkStart w:id="24" w:name="_Toc124867836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t xml:space="preserve">1.2.2. Результаты проведения внеплановых проверок </w:t>
      </w:r>
      <w:bookmarkEnd w:id="19"/>
      <w:bookmarkEnd w:id="20"/>
      <w:bookmarkEnd w:id="21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t xml:space="preserve">юридических лиц (их филиалов, представительств, обособленных подразделений) и ИП, внеплановых мероприятий </w:t>
      </w:r>
      <w:bookmarkEnd w:id="23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t>без взаимодействия с проверяемыми лицами</w:t>
      </w:r>
      <w:bookmarkEnd w:id="24"/>
    </w:p>
    <w:p w:rsidR="00D25306" w:rsidRPr="00D25306" w:rsidRDefault="00D25306" w:rsidP="00D25306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25" w:name="_Toc510816192"/>
      <w:bookmarkStart w:id="26" w:name="_Toc124867837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t>1.2.2.1. Сведения о проведенных внеплановых проверках во взаимодействии</w:t>
      </w:r>
      <w:bookmarkEnd w:id="25"/>
      <w:bookmarkEnd w:id="26"/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bookmarkStart w:id="27" w:name="_Toc510816193"/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 xml:space="preserve">В 2022 году проведена 361 внеплановая проверка. В результате организации и проведения внеплановых проверок выявлено 306 нарушений обязательных требований. </w:t>
      </w:r>
    </w:p>
    <w:p w:rsidR="00D25306" w:rsidRPr="00D25306" w:rsidRDefault="00D25306" w:rsidP="00D253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D25306" w:rsidRPr="00D25306" w:rsidRDefault="00D25306" w:rsidP="00D25306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5306">
        <w:rPr>
          <w:rFonts w:ascii="Times New Roman" w:hAnsi="Times New Roman" w:cs="Times New Roman"/>
          <w:i/>
          <w:sz w:val="28"/>
          <w:szCs w:val="28"/>
        </w:rPr>
        <w:t>Диаграмма</w:t>
      </w:r>
      <w:r w:rsidRPr="00D25306">
        <w:rPr>
          <w:rFonts w:ascii="Times New Roman" w:hAnsi="Times New Roman"/>
          <w:i/>
          <w:sz w:val="28"/>
        </w:rPr>
        <w:t xml:space="preserve"> 5</w:t>
      </w:r>
    </w:p>
    <w:p w:rsidR="00D25306" w:rsidRPr="00D25306" w:rsidRDefault="00D25306" w:rsidP="00D253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D25306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bdr w:val="nil"/>
          <w:lang w:eastAsia="ru-RU"/>
        </w:rPr>
        <w:drawing>
          <wp:inline distT="0" distB="0" distL="0" distR="0" wp14:anchorId="3DB36559" wp14:editId="2643E8D1">
            <wp:extent cx="6154310" cy="1685677"/>
            <wp:effectExtent l="0" t="0" r="0" b="0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5306" w:rsidRPr="00D25306" w:rsidRDefault="00D25306" w:rsidP="00D253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</w:p>
    <w:p w:rsidR="00D25306" w:rsidRPr="00D25306" w:rsidRDefault="00D25306" w:rsidP="00D25306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5306">
        <w:rPr>
          <w:rFonts w:ascii="Times New Roman" w:hAnsi="Times New Roman" w:cs="Times New Roman"/>
          <w:i/>
          <w:sz w:val="28"/>
          <w:szCs w:val="28"/>
        </w:rPr>
        <w:t>Диаграмма</w:t>
      </w:r>
      <w:r w:rsidRPr="00D25306">
        <w:rPr>
          <w:rFonts w:ascii="Times New Roman" w:hAnsi="Times New Roman"/>
          <w:i/>
          <w:sz w:val="28"/>
          <w:lang w:val="en-US"/>
        </w:rPr>
        <w:t xml:space="preserve"> 6</w:t>
      </w:r>
    </w:p>
    <w:p w:rsidR="00D25306" w:rsidRPr="00D25306" w:rsidRDefault="00D25306" w:rsidP="00D253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D25306">
        <w:rPr>
          <w:rFonts w:ascii="Times New Roman" w:eastAsia="Calibri" w:hAnsi="Times New Roman" w:cs="Times New Roman"/>
          <w:bCs/>
          <w:noProof/>
          <w:sz w:val="28"/>
          <w:szCs w:val="28"/>
          <w:u w:color="000000"/>
          <w:bdr w:val="nil"/>
          <w:lang w:eastAsia="ru-RU"/>
        </w:rPr>
        <w:drawing>
          <wp:inline distT="0" distB="0" distL="0" distR="0" wp14:anchorId="16475978" wp14:editId="4A400545">
            <wp:extent cx="5812404" cy="2512612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5306" w:rsidRPr="00D25306" w:rsidRDefault="00D25306" w:rsidP="00D25306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28" w:name="_Toc124867838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lastRenderedPageBreak/>
        <w:t xml:space="preserve">1.2.2.2. Сведения о проведенных внеплановых мероприятиях </w:t>
      </w:r>
      <w:bookmarkEnd w:id="27"/>
      <w:r w:rsidRPr="00D25306">
        <w:rPr>
          <w:rFonts w:ascii="Times New Roman" w:eastAsia="Calibri" w:hAnsi="Times New Roman"/>
          <w:b/>
          <w:sz w:val="28"/>
          <w:szCs w:val="28"/>
          <w:u w:color="000000"/>
        </w:rPr>
        <w:t>без взаимодействия с проверяемыми лицами</w:t>
      </w:r>
      <w:bookmarkEnd w:id="28"/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 xml:space="preserve">За </w:t>
      </w: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 xml:space="preserve">2022 </w:t>
      </w:r>
      <w:r w:rsidRPr="00D25306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 xml:space="preserve">год Управлением проведено 282 </w:t>
      </w:r>
      <w:proofErr w:type="gramStart"/>
      <w:r w:rsidRPr="00D25306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>внеплановых</w:t>
      </w:r>
      <w:proofErr w:type="gramEnd"/>
      <w:r w:rsidRPr="00D25306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 xml:space="preserve"> мероприятия по следующим основаниям:</w:t>
      </w:r>
    </w:p>
    <w:p w:rsidR="00D25306" w:rsidRPr="00D25306" w:rsidRDefault="00D25306" w:rsidP="00D25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поручения центрального аппарата Роскомнадзора –</w:t>
      </w: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val="en-US" w:eastAsia="ru-RU"/>
        </w:rPr>
        <w:t xml:space="preserve"> 109</w:t>
      </w: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;</w:t>
      </w:r>
    </w:p>
    <w:p w:rsidR="00D25306" w:rsidRPr="00D25306" w:rsidRDefault="00D25306" w:rsidP="00D25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 xml:space="preserve">обнаружение нарушений законодательства – </w:t>
      </w: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val="en-US" w:eastAsia="ru-RU"/>
        </w:rPr>
        <w:t>89</w:t>
      </w: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;</w:t>
      </w:r>
    </w:p>
    <w:p w:rsidR="00D25306" w:rsidRPr="00D25306" w:rsidRDefault="00D25306" w:rsidP="00D25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поручение Президента Российской Федерации, Правительства Российской Федерации или руководителя Роскомнадзора – 51;</w:t>
      </w:r>
    </w:p>
    <w:p w:rsidR="00D25306" w:rsidRPr="00D25306" w:rsidRDefault="00D25306" w:rsidP="00D25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обращения и заявления граждан о нарушении их прав, как субъектов персональных данных – 15;</w:t>
      </w:r>
    </w:p>
    <w:p w:rsidR="00D25306" w:rsidRPr="00D25306" w:rsidRDefault="00D25306" w:rsidP="00D25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проверка исполнения предписаний (294-ФЗ, 126-ФЗ)</w:t>
      </w: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ab/>
        <w:t>– 11;</w:t>
      </w:r>
    </w:p>
    <w:p w:rsidR="00D25306" w:rsidRPr="00D25306" w:rsidRDefault="00D25306" w:rsidP="00D25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на основании результатов проведения мероприятий по контролю без взаимодействия с Оператором – 3;</w:t>
      </w:r>
    </w:p>
    <w:p w:rsidR="00D25306" w:rsidRPr="00D25306" w:rsidRDefault="00D25306" w:rsidP="00D25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истечение срока, на который было приостановлено действие лицензии (распоряжение Роскомнадзора от 15.02.2012 № 04) – 2;</w:t>
      </w:r>
    </w:p>
    <w:p w:rsidR="00D25306" w:rsidRPr="00D25306" w:rsidRDefault="00D25306" w:rsidP="00D25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поступление информации (распоряжение Роскомнадзора) – 1;</w:t>
      </w:r>
    </w:p>
    <w:p w:rsidR="00D25306" w:rsidRPr="00D25306" w:rsidRDefault="00D25306" w:rsidP="00D25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D25306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поступление обращений – 1.</w:t>
      </w:r>
    </w:p>
    <w:p w:rsidR="00D25306" w:rsidRPr="00D25306" w:rsidRDefault="00D25306" w:rsidP="00D253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shd w:val="clear" w:color="auto" w:fill="00FFFF"/>
          <w:lang w:eastAsia="ru-RU"/>
        </w:rPr>
      </w:pPr>
      <w:r w:rsidRPr="00D25306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>По итогам проведения внеплановых мероприятий в отчетном периоде 2022 года Управлением выявлено 408</w:t>
      </w:r>
      <w:r w:rsidRPr="00D25306">
        <w:rPr>
          <w:rFonts w:ascii="Times New Roman" w:eastAsia="Calibri" w:hAnsi="Times New Roman" w:cs="Times New Roman"/>
          <w:bCs/>
          <w:sz w:val="28"/>
          <w:szCs w:val="20"/>
          <w:u w:color="000000"/>
          <w:lang w:eastAsia="ru-RU"/>
        </w:rPr>
        <w:t xml:space="preserve"> </w:t>
      </w:r>
      <w:r w:rsidRPr="00D25306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 xml:space="preserve">нарушений, составлено </w:t>
      </w:r>
      <w:r w:rsidRPr="00D25306">
        <w:rPr>
          <w:rFonts w:ascii="Times New Roman" w:eastAsia="Calibri" w:hAnsi="Times New Roman" w:cs="Times New Roman"/>
          <w:bCs/>
          <w:sz w:val="28"/>
          <w:szCs w:val="20"/>
          <w:u w:color="000000"/>
          <w:lang w:eastAsia="ru-RU"/>
        </w:rPr>
        <w:t xml:space="preserve">18 </w:t>
      </w:r>
      <w:r w:rsidRPr="00D25306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>протоколов об административных правонарушениях.</w:t>
      </w:r>
    </w:p>
    <w:p w:rsidR="00D25306" w:rsidRPr="00D25306" w:rsidRDefault="00D25306" w:rsidP="00D25306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5306" w:rsidRPr="00D25306" w:rsidRDefault="00D25306" w:rsidP="00D25306">
      <w:pPr>
        <w:tabs>
          <w:tab w:val="left" w:pos="119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5306">
        <w:rPr>
          <w:rFonts w:ascii="Times New Roman" w:hAnsi="Times New Roman" w:cs="Times New Roman"/>
          <w:i/>
          <w:sz w:val="28"/>
          <w:szCs w:val="28"/>
        </w:rPr>
        <w:t>Диаграмма</w:t>
      </w:r>
      <w:r w:rsidRPr="00D25306">
        <w:rPr>
          <w:rFonts w:ascii="Times New Roman" w:hAnsi="Times New Roman"/>
          <w:i/>
          <w:sz w:val="28"/>
        </w:rPr>
        <w:t xml:space="preserve"> </w:t>
      </w:r>
      <w:r w:rsidRPr="00D25306">
        <w:rPr>
          <w:rFonts w:ascii="Times New Roman" w:hAnsi="Times New Roman"/>
          <w:i/>
          <w:sz w:val="28"/>
          <w:lang w:val="en-US"/>
        </w:rPr>
        <w:t>7</w:t>
      </w:r>
    </w:p>
    <w:p w:rsidR="00B53510" w:rsidRDefault="00D25306">
      <w:r w:rsidRPr="00FC4214">
        <w:rPr>
          <w:rFonts w:eastAsia="Calibri" w:cs="Times New Roman"/>
          <w:noProof/>
          <w:sz w:val="26"/>
          <w:szCs w:val="26"/>
          <w:lang w:eastAsia="ru-RU"/>
        </w:rPr>
        <w:drawing>
          <wp:inline distT="0" distB="0" distL="0" distR="0" wp14:anchorId="4B90C2D2" wp14:editId="0B8EE203">
            <wp:extent cx="5900468" cy="1656271"/>
            <wp:effectExtent l="0" t="0" r="5080" b="1270"/>
            <wp:docPr id="1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29" w:name="_GoBack"/>
      <w:bookmarkEnd w:id="29"/>
    </w:p>
    <w:sectPr w:rsidR="00B5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19C"/>
    <w:multiLevelType w:val="hybridMultilevel"/>
    <w:tmpl w:val="1D22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06"/>
    <w:rsid w:val="00B53510"/>
    <w:rsid w:val="00D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Сведения об объектах надзора 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42305048180739002"/>
          <c:y val="0.11728574961408722"/>
          <c:w val="0.511295506950325"/>
          <c:h val="0.755630578201082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об объктах надзора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081049948914131E-3"/>
                  <c:y val="3.28471809470025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5F-422B-84A2-E262A7ADA0CD}"/>
                </c:ext>
              </c:extLst>
            </c:dLbl>
            <c:dLbl>
              <c:idx val="1"/>
              <c:layout>
                <c:manualLayout>
                  <c:x val="1.0759901746954341E-2"/>
                  <c:y val="-3.71250236566213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53390686028908E-2"/>
                  <c:y val="-4.3107957029296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5F-422B-84A2-E262A7ADA0CD}"/>
                </c:ext>
              </c:extLst>
            </c:dLbl>
            <c:dLbl>
              <c:idx val="3"/>
              <c:layout>
                <c:manualLayout>
                  <c:x val="1.5018980085656155E-2"/>
                  <c:y val="-1.94876142093307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5F-422B-84A2-E262A7ADA0CD}"/>
                </c:ext>
              </c:extLst>
            </c:dLbl>
            <c:dLbl>
              <c:idx val="4"/>
              <c:layout>
                <c:manualLayout>
                  <c:x val="6.1386119147073346E-3"/>
                  <c:y val="3.8418957705891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5F-422B-84A2-E262A7ADA0CD}"/>
                </c:ext>
              </c:extLst>
            </c:dLbl>
            <c:dLbl>
              <c:idx val="5"/>
              <c:layout>
                <c:manualLayout>
                  <c:x val="2.744671575703056E-2"/>
                  <c:y val="-2.1293680099596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5F-422B-84A2-E262A7ADA0CD}"/>
                </c:ext>
              </c:extLst>
            </c:dLbl>
            <c:dLbl>
              <c:idx val="6"/>
              <c:layout>
                <c:manualLayout>
                  <c:x val="8.0096707248365553E-3"/>
                  <c:y val="-9.85082875266573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B5F-422B-84A2-E262A7ADA0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↑ 803% Операторы ПД</c:v>
                </c:pt>
                <c:pt idx="1">
                  <c:v>↓ 8% Владельцы РЭС</c:v>
                </c:pt>
                <c:pt idx="2">
                  <c:v>↓ 5% Операторы связи</c:v>
                </c:pt>
                <c:pt idx="3">
                  <c:v>↓ 16% СМИ</c:v>
                </c:pt>
                <c:pt idx="4">
                  <c:v>↓ 10% Вещатели</c:v>
                </c:pt>
                <c:pt idx="5">
                  <c:v>↓ 2% Владельцы франк.машин</c:v>
                </c:pt>
                <c:pt idx="6">
                  <c:v>↓ 43% Владельцы ВЧУ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197415</c:v>
                </c:pt>
                <c:pt idx="1">
                  <c:v>1008</c:v>
                </c:pt>
                <c:pt idx="2">
                  <c:v>5100</c:v>
                </c:pt>
                <c:pt idx="3">
                  <c:v>1289</c:v>
                </c:pt>
                <c:pt idx="4">
                  <c:v>576</c:v>
                </c:pt>
                <c:pt idx="5">
                  <c:v>51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B5F-422B-84A2-E262A7ADA0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5216640"/>
        <c:axId val="131411328"/>
      </c:barChart>
      <c:valAx>
        <c:axId val="131411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5216640"/>
        <c:crosses val="autoZero"/>
        <c:crossBetween val="between"/>
      </c:valAx>
      <c:catAx>
        <c:axId val="2552166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1411328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Выданные предписания в 2022 году</a:t>
            </a:r>
          </a:p>
        </c:rich>
      </c:tx>
      <c:layout>
        <c:manualLayout>
          <c:xMode val="edge"/>
          <c:yMode val="edge"/>
          <c:x val="3.8817482373526842E-2"/>
          <c:y val="8.10019171896358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5305470624583726E-2"/>
          <c:y val="0.22005212796343887"/>
          <c:w val="0.3037256742984224"/>
          <c:h val="0.6756562410739915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Выданные предписания за первый квартал 2018г.</c:v>
                </c:pt>
              </c:strCache>
            </c:strRef>
          </c:tx>
          <c:explosion val="4"/>
          <c:dLbls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69-4BC9-93F8-47E53449A8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АО «Каршеринг»</c:v>
                </c:pt>
                <c:pt idx="1">
                  <c:v>ООО «Каршеринг Руссия»</c:v>
                </c:pt>
                <c:pt idx="2">
                  <c:v>ООО «СКАРТЕЛ»</c:v>
                </c:pt>
                <c:pt idx="3">
                  <c:v>ООО МФК  «ВЭББАНКИР»</c:v>
                </c:pt>
                <c:pt idx="4">
                  <c:v>ООО МФК «Мани Мен»</c:v>
                </c:pt>
                <c:pt idx="5">
                  <c:v>ПАО «ВымпелКом»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69-4BC9-93F8-47E53449A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888102540538885"/>
          <c:y val="0.21267488319158664"/>
          <c:w val="0.43813427116754788"/>
          <c:h val="0.70642561600018561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3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СН Вещ</c:v>
                </c:pt>
                <c:pt idx="1">
                  <c:v>МБ ОС</c:v>
                </c:pt>
                <c:pt idx="2">
                  <c:v>ПД</c:v>
                </c:pt>
                <c:pt idx="3">
                  <c:v>МБ почты</c:v>
                </c:pt>
                <c:pt idx="4">
                  <c:v>СН СМИ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</c:v>
                </c:pt>
                <c:pt idx="1">
                  <c:v>75</c:v>
                </c:pt>
                <c:pt idx="2">
                  <c:v>52</c:v>
                </c:pt>
                <c:pt idx="3">
                  <c:v>8</c:v>
                </c:pt>
                <c:pt idx="4">
                  <c:v>471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 xmlns:c16r2="http://schemas.microsoft.com/office/drawing/2015/06/chart">
            <c:ext xmlns:c16="http://schemas.microsoft.com/office/drawing/2014/chart" uri="{C3380CC4-5D6E-409C-BE32-E72D297353CC}">
              <c16:uniqueId val="{00000000-6C90-4330-97BD-B63157D563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Lbls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90-4330-97BD-B63157D5630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СН Вещ</c:v>
                </c:pt>
                <c:pt idx="1">
                  <c:v>МБ ОС</c:v>
                </c:pt>
                <c:pt idx="2">
                  <c:v>ПД</c:v>
                </c:pt>
                <c:pt idx="3">
                  <c:v>МБ почты</c:v>
                </c:pt>
                <c:pt idx="4">
                  <c:v>СН СМИ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55</c:v>
                </c:pt>
                <c:pt idx="1">
                  <c:v>16</c:v>
                </c:pt>
                <c:pt idx="2">
                  <c:v>0</c:v>
                </c:pt>
                <c:pt idx="3">
                  <c:v>8</c:v>
                </c:pt>
                <c:pt idx="4">
                  <c:v>456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 xmlns:c16r2="http://schemas.microsoft.com/office/drawing/2015/06/chart">
            <c:ext xmlns:c16="http://schemas.microsoft.com/office/drawing/2014/chart" uri="{C3380CC4-5D6E-409C-BE32-E72D297353CC}">
              <c16:uniqueId val="{00000002-6C90-4330-97BD-B63157D563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55214080"/>
        <c:axId val="131410752"/>
        <c:axId val="0"/>
      </c:bar3DChart>
      <c:catAx>
        <c:axId val="255214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1410752"/>
        <c:crosses val="autoZero"/>
        <c:auto val="1"/>
        <c:lblAlgn val="ctr"/>
        <c:lblOffset val="100"/>
        <c:noMultiLvlLbl val="1"/>
      </c:catAx>
      <c:valAx>
        <c:axId val="131410752"/>
        <c:scaling>
          <c:orientation val="minMax"/>
          <c:min val="0"/>
        </c:scaling>
        <c:delete val="1"/>
        <c:axPos val="l"/>
        <c:numFmt formatCode="#,##0.00" sourceLinked="0"/>
        <c:majorTickMark val="none"/>
        <c:minorTickMark val="none"/>
        <c:tickLblPos val="none"/>
        <c:crossAx val="255214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3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СН Вещ</c:v>
                </c:pt>
                <c:pt idx="1">
                  <c:v>МБ ОС</c:v>
                </c:pt>
                <c:pt idx="2">
                  <c:v>ПД</c:v>
                </c:pt>
                <c:pt idx="3">
                  <c:v>МБ почты</c:v>
                </c:pt>
                <c:pt idx="4">
                  <c:v>СН СМИ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149</c:v>
                </c:pt>
                <c:pt idx="1">
                  <c:v>44</c:v>
                </c:pt>
                <c:pt idx="2">
                  <c:v>56</c:v>
                </c:pt>
                <c:pt idx="3">
                  <c:v>16</c:v>
                </c:pt>
                <c:pt idx="4">
                  <c:v>599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 xmlns:c16r2="http://schemas.microsoft.com/office/drawing/2015/06/chart">
            <c:ext xmlns:c16="http://schemas.microsoft.com/office/drawing/2014/chart" uri="{C3380CC4-5D6E-409C-BE32-E72D297353CC}">
              <c16:uniqueId val="{00000000-F0C1-4A1C-8527-D439CD1D18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Lbls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C1-4A1C-8527-D439CD1D18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СН Вещ</c:v>
                </c:pt>
                <c:pt idx="1">
                  <c:v>МБ ОС</c:v>
                </c:pt>
                <c:pt idx="2">
                  <c:v>ПД</c:v>
                </c:pt>
                <c:pt idx="3">
                  <c:v>МБ почты</c:v>
                </c:pt>
                <c:pt idx="4">
                  <c:v>СН СМИ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134</c:v>
                </c:pt>
                <c:pt idx="1">
                  <c:v>16</c:v>
                </c:pt>
                <c:pt idx="2">
                  <c:v>0</c:v>
                </c:pt>
                <c:pt idx="3">
                  <c:v>15</c:v>
                </c:pt>
                <c:pt idx="4">
                  <c:v>465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 xmlns:c16r2="http://schemas.microsoft.com/office/drawing/2015/06/chart">
            <c:ext xmlns:c16="http://schemas.microsoft.com/office/drawing/2014/chart" uri="{C3380CC4-5D6E-409C-BE32-E72D297353CC}">
              <c16:uniqueId val="{00000002-F0C1-4A1C-8527-D439CD1D18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47984128"/>
        <c:axId val="127967808"/>
        <c:axId val="0"/>
      </c:bar3DChart>
      <c:catAx>
        <c:axId val="247984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300"/>
            </a:pPr>
            <a:endParaRPr lang="ru-RU"/>
          </a:p>
        </c:txPr>
        <c:crossAx val="127967808"/>
        <c:crosses val="autoZero"/>
        <c:auto val="1"/>
        <c:lblAlgn val="ctr"/>
        <c:lblOffset val="100"/>
        <c:noMultiLvlLbl val="1"/>
      </c:catAx>
      <c:valAx>
        <c:axId val="127967808"/>
        <c:scaling>
          <c:orientation val="minMax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300"/>
            </a:pPr>
            <a:endParaRPr lang="ru-RU"/>
          </a:p>
        </c:txPr>
        <c:crossAx val="24798412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7.3578302712160856E-2"/>
          <c:y val="4.3650793650793732E-2"/>
          <c:w val="0.80064377369495665"/>
          <c:h val="0.7319972503437232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протоколов</c:v>
                </c:pt>
                <c:pt idx="1">
                  <c:v>Количество предписаний</c:v>
                </c:pt>
                <c:pt idx="2">
                  <c:v>Количество нарушений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8</c:v>
                </c:pt>
                <c:pt idx="2">
                  <c:v>65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 xmlns:c16r2="http://schemas.microsoft.com/office/drawing/2015/06/chart">
            <c:ext xmlns:c16="http://schemas.microsoft.com/office/drawing/2014/chart" uri="{C3380CC4-5D6E-409C-BE32-E72D297353CC}">
              <c16:uniqueId val="{00000000-19FC-4D3B-80E6-7C75645418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2.3226353925741478E-2"/>
                  <c:y val="-6.790125767030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FC-4D3B-80E6-7C7564541822}"/>
                </c:ext>
              </c:extLst>
            </c:dLbl>
            <c:dLbl>
              <c:idx val="1"/>
              <c:layout>
                <c:manualLayout>
                  <c:x val="1.5484235950494238E-2"/>
                  <c:y val="-1.358025153406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FC-4D3B-80E6-7C7564541822}"/>
                </c:ext>
              </c:extLst>
            </c:dLbl>
            <c:dLbl>
              <c:idx val="2"/>
              <c:layout>
                <c:manualLayout>
                  <c:x val="1.0322823966996231E-2"/>
                  <c:y val="-6.790125767030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FC-4D3B-80E6-7C75645418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протоколов</c:v>
                </c:pt>
                <c:pt idx="1">
                  <c:v>Количество предписаний</c:v>
                </c:pt>
                <c:pt idx="2">
                  <c:v>Количество нарушений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81</c:v>
                </c:pt>
                <c:pt idx="1">
                  <c:v>76</c:v>
                </c:pt>
                <c:pt idx="2">
                  <c:v>306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 xmlns:c16r2="http://schemas.microsoft.com/office/drawing/2015/06/chart">
            <c:ext xmlns:c16="http://schemas.microsoft.com/office/drawing/2014/chart" uri="{C3380CC4-5D6E-409C-BE32-E72D297353CC}">
              <c16:uniqueId val="{00000004-19FC-4D3B-80E6-7C7564541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7987200"/>
        <c:axId val="127970688"/>
        <c:axId val="0"/>
      </c:bar3DChart>
      <c:catAx>
        <c:axId val="247987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7970688"/>
        <c:crosses val="autoZero"/>
        <c:auto val="1"/>
        <c:lblAlgn val="ctr"/>
        <c:lblOffset val="100"/>
        <c:noMultiLvlLbl val="1"/>
      </c:catAx>
      <c:valAx>
        <c:axId val="127970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47987200"/>
        <c:crosses val="autoZero"/>
        <c:crossBetween val="between"/>
      </c:valAx>
      <c:spPr>
        <a:ln>
          <a:noFill/>
        </a:ln>
      </c:spPr>
    </c:plotArea>
    <c:legend>
      <c:legendPos val="r"/>
      <c:layout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3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Выданные предписания за </a:t>
            </a:r>
            <a:r>
              <a:rPr lang="ru-RU"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2022</a:t>
            </a:r>
            <a:endParaRPr lang="ru-RU" sz="1400"/>
          </a:p>
        </c:rich>
      </c:tx>
      <c:layout>
        <c:manualLayout>
          <c:xMode val="edge"/>
          <c:yMode val="edge"/>
          <c:x val="0.2267280457449278"/>
          <c:y val="1.297454601028802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59080032372715"/>
          <c:y val="0.1210365945876245"/>
          <c:w val="0.32238777621101444"/>
          <c:h val="0.745776904671314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Выданные предписания за первый квартал 2018г.</c:v>
                </c:pt>
              </c:strCache>
            </c:strRef>
          </c:tx>
          <c:explosion val="4"/>
          <c:dLbls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29-4548-99CA-896A3D1FBB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Обработка персональных данных</c:v>
                </c:pt>
                <c:pt idx="1">
                  <c:v>Услуги связи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29-4548-99CA-896A3D1FB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3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00"/>
            </a:pPr>
            <a:endParaRPr lang="ru-RU"/>
          </a:p>
        </c:txPr>
      </c:legendEntry>
      <c:layout>
        <c:manualLayout>
          <c:xMode val="edge"/>
          <c:yMode val="edge"/>
          <c:x val="0.48862639279719738"/>
          <c:y val="0.33395605847619925"/>
          <c:w val="0.51027991171983222"/>
          <c:h val="0.27222229297639272"/>
        </c:manualLayout>
      </c:layout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Pt>
            <c:idx val="0"/>
            <c:invertIfNegative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ECB-4FA3-AF78-14B1A6E696BE}"/>
              </c:ext>
            </c:extLst>
          </c:dPt>
          <c:dPt>
            <c:idx val="1"/>
            <c:invertIfNegative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ECB-4FA3-AF78-14B1A6E696B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Протоколов</c:v>
                </c:pt>
                <c:pt idx="1">
                  <c:v>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150</c:v>
                </c:pt>
                <c:pt idx="1">
                  <c:v>233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 xmlns:c16r2="http://schemas.microsoft.com/office/drawing/2015/06/chart">
            <c:ext xmlns:c16="http://schemas.microsoft.com/office/drawing/2014/chart" uri="{C3380CC4-5D6E-409C-BE32-E72D297353CC}">
              <c16:uniqueId val="{00000002-4ECB-4FA3-AF78-14B1A6E696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Протоколов</c:v>
                </c:pt>
                <c:pt idx="1">
                  <c:v>Нарушений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408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 xmlns:c16r2="http://schemas.microsoft.com/office/drawing/2015/06/chart">
            <c:ext xmlns:c16="http://schemas.microsoft.com/office/drawing/2014/chart" uri="{C3380CC4-5D6E-409C-BE32-E72D297353CC}">
              <c16:uniqueId val="{00000003-4ECB-4FA3-AF78-14B1A6E696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8307200"/>
        <c:axId val="127938496"/>
        <c:axId val="0"/>
      </c:bar3DChart>
      <c:catAx>
        <c:axId val="128307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7938496"/>
        <c:crosses val="autoZero"/>
        <c:auto val="1"/>
        <c:lblAlgn val="ctr"/>
        <c:lblOffset val="100"/>
        <c:noMultiLvlLbl val="1"/>
      </c:catAx>
      <c:valAx>
        <c:axId val="127938496"/>
        <c:scaling>
          <c:orientation val="minMax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crossAx val="1283072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3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Зеева Татьяна Ивановна</dc:creator>
  <cp:lastModifiedBy>Зеева Татьяна Ивановна</cp:lastModifiedBy>
  <cp:revision>1</cp:revision>
  <dcterms:created xsi:type="dcterms:W3CDTF">2023-05-03T07:53:00Z</dcterms:created>
  <dcterms:modified xsi:type="dcterms:W3CDTF">2023-05-03T08:11:00Z</dcterms:modified>
</cp:coreProperties>
</file>