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E3" w:rsidRPr="00FA21E3" w:rsidRDefault="00FA21E3" w:rsidP="00FA21E3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both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bookmarkStart w:id="0" w:name="_Toc510816185"/>
      <w:bookmarkStart w:id="1" w:name="_Toc100575219"/>
      <w:r w:rsidRPr="00FA21E3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1. СВЕДЕНИЯ О ВЫП</w:t>
      </w:r>
      <w:r w:rsidRPr="00FA2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ОЛНЕНИИ ПОЛНОМОЧИЙ, ВОЗЛОЖЕННЫХ</w:t>
      </w:r>
      <w:r w:rsidRPr="00FA21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br/>
      </w:r>
      <w:r w:rsidRPr="00FA21E3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НА ТЕРРИТОРИАЛЬНЫЙ ОРГАН РОСКОМНАДЗОРА</w:t>
      </w:r>
      <w:bookmarkEnd w:id="0"/>
      <w:bookmarkEnd w:id="1"/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bookmarkStart w:id="2" w:name="_Toc472886812"/>
      <w:bookmarkStart w:id="3" w:name="_Toc479666280"/>
      <w:bookmarkStart w:id="4" w:name="_Toc503986387"/>
      <w:bookmarkStart w:id="5" w:name="_Toc510816186"/>
      <w:bookmarkStart w:id="6" w:name="_Toc100575220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 xml:space="preserve">1.1. </w:t>
      </w:r>
      <w:bookmarkEnd w:id="2"/>
      <w:bookmarkEnd w:id="3"/>
      <w:bookmarkEnd w:id="4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Общие сведения об объектах и предметах надзора</w:t>
      </w:r>
      <w:bookmarkEnd w:id="5"/>
      <w:bookmarkEnd w:id="6"/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В 1 квартале 2022 года на территории Москвы и Московской области осуществляли деятельность 33 060 объектов надзора, количество действующих лицензий на оказание услуг связи и теле и радиовещания составляло 13 126. В целом количество объектов надзора в сравнении</w:t>
      </w:r>
      <w:r w:rsidRPr="00FA21E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с 1 кварталом 2021 года возросло на 3%.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u w:color="000000"/>
          <w:bdr w:val="nil"/>
          <w:lang w:eastAsia="ru-RU"/>
        </w:rPr>
        <w:t>Рис. 1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Calibri" w:eastAsia="Calibri" w:hAnsi="Calibri" w:cs="Times New Roman"/>
          <w:noProof/>
          <w:color w:val="000000" w:themeColor="text1"/>
          <w:szCs w:val="28"/>
          <w:u w:color="000000"/>
          <w:bdr w:val="nil"/>
          <w:lang w:eastAsia="ru-RU"/>
        </w:rPr>
        <w:drawing>
          <wp:inline distT="0" distB="0" distL="0" distR="0" wp14:anchorId="4B3C382F" wp14:editId="60444887">
            <wp:extent cx="5940425" cy="3764808"/>
            <wp:effectExtent l="0" t="0" r="41275" b="762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Значительное снижение количества владельцев РЭС связано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с окончанием действия свидетельств, оформленных на РЭС, которые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по действующему законодательству не подлежат в настоящее время регистрации. В новом Реестре владельцев РЭС учитываются только владельцы действующих РЭС.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ind w:firstLine="709"/>
        <w:contextualSpacing/>
        <w:jc w:val="right"/>
        <w:rPr>
          <w:rFonts w:ascii="Times New Roman" w:hAnsi="Times New Roman"/>
          <w:i/>
          <w:sz w:val="28"/>
        </w:rPr>
      </w:pPr>
      <w:r w:rsidRPr="00FA21E3">
        <w:rPr>
          <w:rFonts w:ascii="Times New Roman" w:hAnsi="Times New Roman"/>
          <w:i/>
          <w:sz w:val="28"/>
        </w:rPr>
        <w:t>Таблица 1</w:t>
      </w:r>
    </w:p>
    <w:tbl>
      <w:tblPr>
        <w:tblStyle w:val="a3"/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6"/>
        <w:gridCol w:w="1427"/>
        <w:gridCol w:w="1134"/>
        <w:gridCol w:w="1559"/>
      </w:tblGrid>
      <w:tr w:rsidR="00FA21E3" w:rsidRPr="00FA21E3" w:rsidTr="00C31951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A21E3" w:rsidRPr="00FA21E3" w:rsidRDefault="00FA21E3" w:rsidP="00FA2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предметах надзора</w:t>
            </w:r>
          </w:p>
        </w:tc>
      </w:tr>
      <w:tr w:rsidR="00FA21E3" w:rsidRPr="00FA21E3" w:rsidTr="00C31951">
        <w:trPr>
          <w:trHeight w:val="607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2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Динамика</w:t>
            </w:r>
          </w:p>
        </w:tc>
      </w:tr>
      <w:tr w:rsidR="00FA21E3" w:rsidRPr="00FA21E3" w:rsidTr="00C31951">
        <w:trPr>
          <w:trHeight w:val="311"/>
        </w:trPr>
        <w:tc>
          <w:tcPr>
            <w:tcW w:w="52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Количество франкировальных машин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Calibri" w:eastAsia="Calibri" w:hAnsi="Calibri" w:cs="Times New Roman"/>
                <w:color w:val="00B050"/>
                <w:sz w:val="26"/>
                <w:szCs w:val="26"/>
                <w:u w:color="000000"/>
                <w:bdr w:val="nil"/>
                <w:lang w:eastAsia="ru-RU"/>
              </w:rPr>
              <w:t xml:space="preserve">↑ </w:t>
            </w: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1%</w:t>
            </w:r>
          </w:p>
        </w:tc>
      </w:tr>
      <w:tr w:rsidR="00FA21E3" w:rsidRPr="00FA21E3" w:rsidTr="00C31951">
        <w:trPr>
          <w:trHeight w:val="412"/>
        </w:trPr>
        <w:tc>
          <w:tcPr>
            <w:tcW w:w="5236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РЭС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387769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412737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Calibri" w:eastAsia="Calibri" w:hAnsi="Calibri" w:cs="Times New Roman"/>
                <w:color w:val="00B050"/>
                <w:sz w:val="26"/>
                <w:szCs w:val="26"/>
                <w:u w:color="000000"/>
                <w:bdr w:val="nil"/>
                <w:lang w:eastAsia="ru-RU"/>
              </w:rPr>
              <w:t xml:space="preserve">↑ </w:t>
            </w: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64%</w:t>
            </w:r>
          </w:p>
        </w:tc>
      </w:tr>
      <w:tr w:rsidR="00FA21E3" w:rsidRPr="00FA21E3" w:rsidTr="00C31951">
        <w:trPr>
          <w:trHeight w:val="311"/>
        </w:trPr>
        <w:tc>
          <w:tcPr>
            <w:tcW w:w="5236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ВЧУ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1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10"/>
                <w:tab w:val="center" w:pos="658"/>
                <w:tab w:val="left" w:pos="851"/>
              </w:tabs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val="en-US" w:eastAsia="ru-RU"/>
              </w:rPr>
            </w:pPr>
            <w:r w:rsidRPr="00FA21E3">
              <w:rPr>
                <w:rFonts w:ascii="Calibri" w:eastAsia="Calibri" w:hAnsi="Calibri" w:cs="Times New Roman"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 xml:space="preserve">↓ </w:t>
            </w:r>
            <w:r w:rsidRPr="00FA21E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u w:color="000000"/>
                <w:bdr w:val="nil"/>
                <w:lang w:eastAsia="ru-RU"/>
              </w:rPr>
              <w:t>10%</w:t>
            </w:r>
          </w:p>
        </w:tc>
      </w:tr>
    </w:tbl>
    <w:p w:rsidR="00FA21E3" w:rsidRPr="00FA21E3" w:rsidRDefault="00FA21E3" w:rsidP="00FA21E3">
      <w:pPr>
        <w:tabs>
          <w:tab w:val="left" w:pos="1190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hAnsi="Times New Roman"/>
          <w:i/>
          <w:sz w:val="28"/>
        </w:rPr>
      </w:pPr>
      <w:r w:rsidRPr="00FA21E3">
        <w:rPr>
          <w:rFonts w:ascii="Times New Roman" w:hAnsi="Times New Roman"/>
          <w:i/>
          <w:sz w:val="28"/>
        </w:rPr>
        <w:t>Таблица 2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6"/>
        <w:gridCol w:w="2517"/>
      </w:tblGrid>
      <w:tr w:rsidR="00FA21E3" w:rsidRPr="00FA21E3" w:rsidTr="00C31951">
        <w:trPr>
          <w:trHeight w:val="315"/>
        </w:trPr>
        <w:tc>
          <w:tcPr>
            <w:tcW w:w="9463" w:type="dxa"/>
            <w:gridSpan w:val="2"/>
            <w:tcBorders>
              <w:bottom w:val="nil"/>
            </w:tcBorders>
            <w:shd w:val="clear" w:color="auto" w:fill="C6D9F1" w:themeFill="text2" w:themeFillTint="33"/>
            <w:noWrap/>
            <w:vAlign w:val="center"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лицензий по состоянию на 31.03.2022 года.</w:t>
            </w:r>
          </w:p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tcBorders>
              <w:top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Тип лицензии</w:t>
            </w:r>
          </w:p>
        </w:tc>
        <w:tc>
          <w:tcPr>
            <w:tcW w:w="2517" w:type="dxa"/>
            <w:tcBorders>
              <w:top w:val="nil"/>
              <w:lef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</w:p>
        </w:tc>
      </w:tr>
      <w:tr w:rsidR="00FA21E3" w:rsidRPr="00FA21E3" w:rsidTr="00C31951">
        <w:trPr>
          <w:trHeight w:val="352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(ТЛМ) </w:t>
            </w:r>
            <w:proofErr w:type="spellStart"/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Телематические</w:t>
            </w:r>
            <w:proofErr w:type="spellEnd"/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услуги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3682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(ПД) 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2937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(АК) Услуги связи по предоставлению каналов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1588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(МТ</w:t>
            </w:r>
            <w:proofErr w:type="gramStart"/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gramEnd"/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1096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(ПГИПД) Услуги связи по передаче данных для целей передачи голосовой информации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977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(ПС) Услуги почтовой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580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(СКТВ) Услуги связи для целей кабельного вещания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495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(ЭФ) Услуги связи для целей эфирного вещания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173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(МТЗ) Услуги внутризоновой телефонной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124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(ПВ) Услуги связи для целей проводного радиовещания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129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(ПКП) Услуги местной телефонной связи с использованием средств коллективного доступа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78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(РТС) Услуги подвижной радиотелефонной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82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(МНМГ) Услуги междугородной и международной </w:t>
            </w: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телефонной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lastRenderedPageBreak/>
              <w:t>51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(РС) Услуги подвижной радиосвязи в выделенной сети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(ТФВС) Услуги телефонной связи в выделенной сети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(ТГ) Услуги телеграфной 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(РТ) Услуги подвижной радиосвязи в сети связи общего пользования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(ТАКС) Услуги местной телефонной связи с использованием таксофонов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(СПРС) Услуги подвижной спутниковой радиосвязи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FA21E3" w:rsidRPr="00FA21E3" w:rsidTr="00C31951">
        <w:trPr>
          <w:trHeight w:val="315"/>
        </w:trPr>
        <w:tc>
          <w:tcPr>
            <w:tcW w:w="6946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</w:t>
            </w:r>
          </w:p>
        </w:tc>
        <w:tc>
          <w:tcPr>
            <w:tcW w:w="2517" w:type="dxa"/>
            <w:shd w:val="clear" w:color="auto" w:fill="FFFFFF" w:themeFill="background1"/>
            <w:noWrap/>
            <w:vAlign w:val="center"/>
            <w:hideMark/>
          </w:tcPr>
          <w:p w:rsidR="00FA21E3" w:rsidRPr="00FA21E3" w:rsidRDefault="00FA21E3" w:rsidP="00FA21E3">
            <w:pPr>
              <w:spacing w:after="0"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r w:rsidRPr="00FA21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2091</w:t>
            </w:r>
          </w:p>
        </w:tc>
      </w:tr>
    </w:tbl>
    <w:p w:rsidR="00FA21E3" w:rsidRPr="00FA21E3" w:rsidRDefault="00FA21E3" w:rsidP="00FA21E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bookmarkStart w:id="7" w:name="_Toc479666281"/>
      <w:bookmarkStart w:id="8" w:name="_Toc503986388"/>
      <w:bookmarkStart w:id="9" w:name="_Toc510816187"/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bookmarkStart w:id="10" w:name="_Toc100575221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lastRenderedPageBreak/>
        <w:t xml:space="preserve">1.2. </w:t>
      </w:r>
      <w:bookmarkEnd w:id="7"/>
      <w:bookmarkEnd w:id="8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Результаты контрольно-надзорной деятельности</w:t>
      </w:r>
      <w:bookmarkStart w:id="11" w:name="_Toc472886814"/>
      <w:bookmarkStart w:id="12" w:name="_Toc479666282"/>
      <w:bookmarkStart w:id="13" w:name="_Toc503986389"/>
      <w:bookmarkStart w:id="14" w:name="_Toc510816188"/>
      <w:bookmarkEnd w:id="9"/>
      <w:bookmarkEnd w:id="10"/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bookmarkStart w:id="15" w:name="_Toc100575222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 xml:space="preserve">1.2.1. </w:t>
      </w:r>
      <w:bookmarkEnd w:id="11"/>
      <w:bookmarkEnd w:id="12"/>
      <w:bookmarkEnd w:id="13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>Результаты проведения плановых проверок юридических лиц</w:t>
      </w:r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br/>
        <w:t>(их филиалов, представительств, обособленных подразделений)</w:t>
      </w:r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br/>
        <w:t xml:space="preserve">и индивидуальных предпринимателей (ИП) и плановых мероприятий </w:t>
      </w:r>
      <w:bookmarkEnd w:id="14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15"/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>План контрольных (надзорных) мероприятий Управления Федеральной службы по надзору в сфере связи, информационных технологий и массовых коммуникаций по Центральному федеральному округу на 2022 год утвержден приказом руководителя Управления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 ноября 2021 года № 213 (далее – План деятельности).</w:t>
      </w: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Планом деятельности в 1 квартале 2022 года Управлением запланировано 168 мероприятий государственного контроля (надзора).</w:t>
      </w: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hAnsi="Times New Roman"/>
          <w:i/>
          <w:sz w:val="28"/>
        </w:rPr>
      </w:pPr>
      <w:r w:rsidRPr="00FA21E3">
        <w:rPr>
          <w:rFonts w:ascii="Times New Roman" w:hAnsi="Times New Roman"/>
          <w:i/>
          <w:sz w:val="28"/>
        </w:rPr>
        <w:t>Таблица 3</w:t>
      </w:r>
    </w:p>
    <w:tbl>
      <w:tblPr>
        <w:tblStyle w:val="a3"/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FA21E3" w:rsidRPr="00FA21E3" w:rsidTr="00C31951">
        <w:trPr>
          <w:trHeight w:val="502"/>
        </w:trPr>
        <w:tc>
          <w:tcPr>
            <w:tcW w:w="9356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контрольно-надзорных мероприятиях</w:t>
            </w:r>
          </w:p>
        </w:tc>
      </w:tr>
      <w:tr w:rsidR="00FA21E3" w:rsidRPr="00FA21E3" w:rsidTr="00C31951">
        <w:trPr>
          <w:trHeight w:val="314"/>
        </w:trPr>
        <w:tc>
          <w:tcPr>
            <w:tcW w:w="4678" w:type="dxa"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2022</w:t>
            </w:r>
          </w:p>
        </w:tc>
      </w:tr>
      <w:tr w:rsidR="00FA21E3" w:rsidRPr="00FA21E3" w:rsidTr="00C31951">
        <w:trPr>
          <w:trHeight w:val="275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запланировано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A21E3" w:rsidRPr="00FA21E3" w:rsidTr="00C31951">
        <w:trPr>
          <w:trHeight w:val="281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Плановые проверки</w:t>
            </w:r>
          </w:p>
        </w:tc>
      </w:tr>
      <w:tr w:rsidR="00FA21E3" w:rsidRPr="00FA21E3" w:rsidTr="00C31951">
        <w:trPr>
          <w:trHeight w:val="294"/>
        </w:trPr>
        <w:tc>
          <w:tcPr>
            <w:tcW w:w="4678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</w:tr>
      <w:tr w:rsidR="00FA21E3" w:rsidRPr="00FA21E3" w:rsidTr="00C31951">
        <w:trPr>
          <w:trHeight w:val="281"/>
        </w:trPr>
        <w:tc>
          <w:tcPr>
            <w:tcW w:w="4678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FA21E3" w:rsidRPr="00FA21E3" w:rsidTr="00C31951">
        <w:trPr>
          <w:trHeight w:val="28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Отменено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FA21E3" w:rsidRPr="00FA21E3" w:rsidTr="00C31951">
        <w:trPr>
          <w:trHeight w:val="281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Плановые мероприятия без взаимодействия</w:t>
            </w:r>
          </w:p>
        </w:tc>
      </w:tr>
      <w:tr w:rsidR="00FA21E3" w:rsidRPr="00FA21E3" w:rsidTr="00C31951">
        <w:trPr>
          <w:trHeight w:val="281"/>
        </w:trPr>
        <w:tc>
          <w:tcPr>
            <w:tcW w:w="4678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Запланировано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141</w:t>
            </w:r>
          </w:p>
        </w:tc>
      </w:tr>
      <w:tr w:rsidR="00FA21E3" w:rsidRPr="00FA21E3" w:rsidTr="00C31951">
        <w:trPr>
          <w:trHeight w:val="281"/>
        </w:trPr>
        <w:tc>
          <w:tcPr>
            <w:tcW w:w="4678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140</w:t>
            </w:r>
          </w:p>
        </w:tc>
      </w:tr>
      <w:tr w:rsidR="00FA21E3" w:rsidRPr="00FA21E3" w:rsidTr="00C31951">
        <w:trPr>
          <w:trHeight w:val="294"/>
        </w:trPr>
        <w:tc>
          <w:tcPr>
            <w:tcW w:w="4678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Отменено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31.03.2022 проведено 88% запланированных проверок юридических лиц (их филиалов, представительств, 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обособленных структурных подразделений) и индивидуальных предпринимателей и 99% запланированных мероприятий без взаимодействия с проверяемыми лицами. </w:t>
      </w:r>
      <w:r w:rsidRPr="00FA2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bookmarkStart w:id="16" w:name="_Toc510816189"/>
      <w:bookmarkStart w:id="17" w:name="_Toc100575223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lastRenderedPageBreak/>
        <w:t>1.2.1.1. Сведения о проведенных плановых проверках</w:t>
      </w:r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br/>
        <w:t>во взаимодействии</w:t>
      </w:r>
      <w:bookmarkEnd w:id="16"/>
      <w:bookmarkEnd w:id="17"/>
    </w:p>
    <w:p w:rsidR="00FA21E3" w:rsidRPr="00FA21E3" w:rsidRDefault="00FA21E3" w:rsidP="00FA21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21E3">
        <w:rPr>
          <w:rFonts w:ascii="Times New Roman" w:hAnsi="Times New Roman"/>
          <w:sz w:val="28"/>
        </w:rPr>
        <w:t>Проведение плановых проверок в 2022 году отменено Решением руководителя Управления от 11.03.2022 № 47 на основании пункта</w:t>
      </w:r>
      <w:r w:rsidRPr="00FA21E3">
        <w:rPr>
          <w:rFonts w:ascii="Times New Roman" w:hAnsi="Times New Roman"/>
          <w:sz w:val="28"/>
        </w:rPr>
        <w:br/>
        <w:t>5 постановления Правительства Российской Федерации от 10.03.2022</w:t>
      </w:r>
      <w:r w:rsidRPr="00FA21E3">
        <w:rPr>
          <w:rFonts w:ascii="Times New Roman" w:hAnsi="Times New Roman"/>
          <w:sz w:val="28"/>
        </w:rPr>
        <w:br/>
        <w:t>№ 3336 «Об особенностях организации и осуществления государственного контроля (надзора), муниципального контроля».</w:t>
      </w:r>
    </w:p>
    <w:p w:rsidR="00FA21E3" w:rsidRPr="00FA21E3" w:rsidRDefault="00FA21E3" w:rsidP="00FA2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проведения плановых проверок в 1 квартале 2022 году выявлено 21 нарушение, выдано 8 предписаний, составлено 2 протокола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административных правонарушениях.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Таблица 4</w:t>
      </w:r>
    </w:p>
    <w:tbl>
      <w:tblPr>
        <w:tblStyle w:val="a3"/>
        <w:tblW w:w="9214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709"/>
        <w:gridCol w:w="851"/>
        <w:gridCol w:w="850"/>
        <w:gridCol w:w="851"/>
        <w:gridCol w:w="850"/>
        <w:gridCol w:w="851"/>
        <w:gridCol w:w="850"/>
      </w:tblGrid>
      <w:tr w:rsidR="00FA21E3" w:rsidRPr="00FA21E3" w:rsidTr="00C31951">
        <w:trPr>
          <w:trHeight w:val="451"/>
        </w:trPr>
        <w:tc>
          <w:tcPr>
            <w:tcW w:w="9214" w:type="dxa"/>
            <w:gridSpan w:val="9"/>
            <w:tcBorders>
              <w:bottom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Сведения о результатах проведения контрольно-надзорных мероприятий</w:t>
            </w:r>
          </w:p>
        </w:tc>
      </w:tr>
      <w:tr w:rsidR="00FA21E3" w:rsidRPr="00FA21E3" w:rsidTr="00C31951">
        <w:trPr>
          <w:trHeight w:val="515"/>
        </w:trPr>
        <w:tc>
          <w:tcPr>
            <w:tcW w:w="2410" w:type="dxa"/>
            <w:vMerge w:val="restart"/>
            <w:tcBorders>
              <w:top w:val="nil"/>
              <w:bottom w:val="nil"/>
              <w:right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ПОДФТ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Вещание</w:t>
            </w:r>
          </w:p>
        </w:tc>
      </w:tr>
      <w:tr w:rsidR="00FA21E3" w:rsidRPr="00FA21E3" w:rsidTr="00C31951">
        <w:trPr>
          <w:trHeight w:val="113"/>
        </w:trPr>
        <w:tc>
          <w:tcPr>
            <w:tcW w:w="2410" w:type="dxa"/>
            <w:vMerge/>
            <w:tcBorders>
              <w:top w:val="nil"/>
              <w:right w:val="nil"/>
            </w:tcBorders>
            <w:shd w:val="clear" w:color="auto" w:fill="C6D9F1" w:themeFill="text2" w:themeFillTint="33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C6D9F1" w:themeFill="text2" w:themeFillTint="33"/>
            <w:vAlign w:val="bottom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02</w:t>
            </w:r>
            <w:r w:rsidRPr="00FA21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FA21E3" w:rsidRPr="00FA21E3" w:rsidTr="00C31951">
        <w:trPr>
          <w:trHeight w:val="509"/>
        </w:trPr>
        <w:tc>
          <w:tcPr>
            <w:tcW w:w="2410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FA21E3" w:rsidRPr="00FA21E3" w:rsidTr="00C31951">
        <w:trPr>
          <w:trHeight w:val="392"/>
        </w:trPr>
        <w:tc>
          <w:tcPr>
            <w:tcW w:w="2410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FA21E3" w:rsidRPr="00FA21E3" w:rsidTr="00C31951">
        <w:trPr>
          <w:trHeight w:val="260"/>
        </w:trPr>
        <w:tc>
          <w:tcPr>
            <w:tcW w:w="2410" w:type="dxa"/>
            <w:shd w:val="clear" w:color="auto" w:fill="FFFFFF" w:themeFill="background1"/>
          </w:tcPr>
          <w:p w:rsidR="00FA21E3" w:rsidRPr="00FA21E3" w:rsidRDefault="00FA21E3" w:rsidP="00FA21E3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A21E3" w:rsidRPr="00FA21E3" w:rsidRDefault="00FA21E3" w:rsidP="00FA21E3">
            <w:pPr>
              <w:spacing w:line="360" w:lineRule="auto"/>
              <w:ind w:hanging="108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21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</w:tbl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Рис. 2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369F3AA3" wp14:editId="15993FA8">
            <wp:extent cx="5816009" cy="22860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18" w:name="_Toc472886815"/>
      <w:bookmarkStart w:id="19" w:name="_Toc479666283"/>
      <w:bookmarkStart w:id="20" w:name="_Toc503986390"/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bookmarkStart w:id="21" w:name="_Toc510816190"/>
      <w:bookmarkStart w:id="22" w:name="_Toc100575224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lastRenderedPageBreak/>
        <w:t>1.2.1.2. Сведения о проведенных плановых мероприятиях СН</w:t>
      </w:r>
      <w:bookmarkEnd w:id="21"/>
      <w:bookmarkEnd w:id="22"/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Из 141 запланированного на 1 квартал 2022 г. Мероприятия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без взаимодействия с проверяемыми лицами, проведено 140, что составляет 99%.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Одно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плановое мероприятие СН СМИ отменено в связи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с решением учредителя средства массовой информации о прекращении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его деятельности.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Рис. 3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332BCB9A" wp14:editId="322E95EF">
            <wp:extent cx="5858539" cy="1679945"/>
            <wp:effectExtent l="0" t="0" r="889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t>За 1 квартал 2022 года по сравнению с аналогичным периодом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  <w:br/>
        <w:t>2021 года количество выявленных нарушений по итогам проведения плановых мероприятий СН сократилось на 38%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Рис. 4</w:t>
      </w:r>
    </w:p>
    <w:p w:rsidR="00FA21E3" w:rsidRPr="00FA21E3" w:rsidRDefault="00FA21E3" w:rsidP="00FA21E3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A21E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3AB423" wp14:editId="271D730A">
            <wp:extent cx="5677786" cy="1637414"/>
            <wp:effectExtent l="0" t="0" r="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u w:color="000000"/>
        </w:rPr>
      </w:pPr>
      <w:bookmarkStart w:id="23" w:name="_Toc510816191"/>
      <w:bookmarkStart w:id="24" w:name="_Toc100575225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lastRenderedPageBreak/>
        <w:t xml:space="preserve">1.2.2. Результаты проведения внеплановых проверок </w:t>
      </w:r>
      <w:bookmarkEnd w:id="18"/>
      <w:bookmarkEnd w:id="19"/>
      <w:bookmarkEnd w:id="20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>юридических лиц</w:t>
      </w:r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br/>
        <w:t xml:space="preserve">(их филиалов, представительств, обособленных подразделений) и ИП, внеплановых мероприятий </w:t>
      </w:r>
      <w:bookmarkEnd w:id="23"/>
      <w:r w:rsidRPr="00FA21E3">
        <w:rPr>
          <w:rFonts w:ascii="Times New Roman" w:eastAsia="Calibri" w:hAnsi="Times New Roman" w:cs="Times New Roman"/>
          <w:b/>
          <w:sz w:val="28"/>
          <w:szCs w:val="28"/>
          <w:u w:color="000000"/>
        </w:rPr>
        <w:t>без взаимодействия с проверяемыми лицами</w:t>
      </w:r>
      <w:bookmarkEnd w:id="24"/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bookmarkStart w:id="25" w:name="_Toc510816192"/>
      <w:bookmarkStart w:id="26" w:name="_Toc100575226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1.2.2.1.Сведения о проведенных внеплановых проверках во взаимодействии</w:t>
      </w:r>
      <w:bookmarkEnd w:id="25"/>
      <w:bookmarkEnd w:id="26"/>
    </w:p>
    <w:p w:rsidR="00FA21E3" w:rsidRPr="00FA21E3" w:rsidRDefault="00FA21E3" w:rsidP="00FA21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21E3">
        <w:rPr>
          <w:rFonts w:ascii="Times New Roman" w:hAnsi="Times New Roman"/>
          <w:sz w:val="28"/>
        </w:rPr>
        <w:t>В 2022 году проведено 4 внеплановые проверки. В результате организации и проведения внеплановых проверок выявлено 6 нарушений обязательных требований. Предписания выдан</w:t>
      </w:r>
      <w:proofErr w:type="gramStart"/>
      <w:r w:rsidRPr="00FA21E3">
        <w:rPr>
          <w:rFonts w:ascii="Times New Roman" w:hAnsi="Times New Roman"/>
          <w:sz w:val="28"/>
        </w:rPr>
        <w:t>ы ООО</w:t>
      </w:r>
      <w:proofErr w:type="gramEnd"/>
      <w:r w:rsidRPr="00FA21E3">
        <w:rPr>
          <w:rFonts w:ascii="Times New Roman" w:hAnsi="Times New Roman"/>
          <w:sz w:val="28"/>
        </w:rPr>
        <w:t xml:space="preserve"> «</w:t>
      </w:r>
      <w:proofErr w:type="spellStart"/>
      <w:r w:rsidRPr="00FA21E3">
        <w:rPr>
          <w:rFonts w:ascii="Times New Roman" w:hAnsi="Times New Roman"/>
          <w:sz w:val="28"/>
        </w:rPr>
        <w:t>Лайн</w:t>
      </w:r>
      <w:proofErr w:type="spellEnd"/>
      <w:r w:rsidRPr="00FA21E3">
        <w:rPr>
          <w:rFonts w:ascii="Times New Roman" w:hAnsi="Times New Roman"/>
          <w:sz w:val="28"/>
        </w:rPr>
        <w:t xml:space="preserve"> Групп»</w:t>
      </w:r>
      <w:r w:rsidRPr="00FA21E3">
        <w:rPr>
          <w:rFonts w:ascii="Times New Roman" w:hAnsi="Times New Roman"/>
          <w:sz w:val="28"/>
        </w:rPr>
        <w:br/>
        <w:t>и ПАО «ВымпелКом».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Рис. 5</w:t>
      </w:r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FA21E3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2FD315AF" wp14:editId="4FF3A640">
            <wp:extent cx="6156251" cy="2626242"/>
            <wp:effectExtent l="0" t="0" r="0" b="3175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27" w:name="_Toc510816193"/>
    </w:p>
    <w:p w:rsidR="00FA21E3" w:rsidRPr="00FA21E3" w:rsidRDefault="00FA21E3" w:rsidP="00FA21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FA21E3" w:rsidRPr="00FA21E3" w:rsidRDefault="00FA21E3" w:rsidP="00FA21E3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A21E3" w:rsidRPr="00FA21E3" w:rsidRDefault="00FA21E3" w:rsidP="00FA21E3">
      <w:pPr>
        <w:keepNext/>
        <w:keepLines/>
        <w:spacing w:after="0" w:line="360" w:lineRule="auto"/>
        <w:contextualSpacing/>
        <w:mirrorIndents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</w:pPr>
      <w:bookmarkStart w:id="28" w:name="_Toc100575227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lastRenderedPageBreak/>
        <w:t xml:space="preserve">1.2.2.2.Сведения о проведенных внеплановых мероприятиях </w:t>
      </w:r>
      <w:bookmarkEnd w:id="27"/>
      <w:r w:rsidRPr="00FA21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color="000000"/>
        </w:rPr>
        <w:t>без взаимодействия с проверяемыми лицами</w:t>
      </w:r>
      <w:bookmarkEnd w:id="28"/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2022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Управлением проведено 33 </w:t>
      </w:r>
      <w:proofErr w:type="gramStart"/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внеплановых</w:t>
      </w:r>
      <w:proofErr w:type="gramEnd"/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мероприятия по следующим основаниям:</w:t>
      </w:r>
    </w:p>
    <w:p w:rsidR="00FA21E3" w:rsidRPr="00FA21E3" w:rsidRDefault="00FA21E3" w:rsidP="00FA21E3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по поручению центрального аппарата Роскомнадзора – 26;</w:t>
      </w:r>
    </w:p>
    <w:p w:rsidR="00FA21E3" w:rsidRPr="00FA21E3" w:rsidRDefault="00FA21E3" w:rsidP="00FA21E3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проверка исполнения предписаний (294-ФЗ, 126-ФЗ) – 6;</w:t>
      </w:r>
    </w:p>
    <w:p w:rsidR="00FA21E3" w:rsidRPr="00FA21E3" w:rsidRDefault="00FA21E3" w:rsidP="00FA21E3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 по обращениям – 1.</w:t>
      </w: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00FFFF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итогам проведения внеплановых мероприятий в 1 квартале 2022 года Управлением выявлено 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35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нарушений. По сравнению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с аналогичным периодом 2021 года этот показатель уменьшился практически вдвое (за 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2021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выявлено 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74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нарушения).</w:t>
      </w: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результатам проведенных Управлением за </w:t>
      </w:r>
      <w:r w:rsidRPr="00FA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квартал 2022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внеплановых мероприятий составлено 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20 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протоколов, что на 36% меньше относительно аналогичного периода 2021 года, когда был составлен</w:t>
      </w:r>
      <w:r w:rsidRPr="00FA21E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/>
        <w:t>31 протокол</w:t>
      </w:r>
      <w:r w:rsidRPr="00FA21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21E3" w:rsidRPr="00FA21E3" w:rsidRDefault="00FA21E3" w:rsidP="00FA21E3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21E3" w:rsidRPr="00FA21E3" w:rsidRDefault="00FA21E3" w:rsidP="00FA21E3">
      <w:pPr>
        <w:tabs>
          <w:tab w:val="left" w:pos="1190"/>
        </w:tabs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hAnsi="Times New Roman"/>
          <w:i/>
          <w:sz w:val="28"/>
        </w:rPr>
        <w:t>Рис. 6</w:t>
      </w:r>
    </w:p>
    <w:p w:rsidR="00FA21E3" w:rsidRPr="00FA21E3" w:rsidRDefault="00FA21E3" w:rsidP="00FA21E3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21E3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3DD09F" wp14:editId="4B7948C4">
            <wp:extent cx="5901070" cy="2137144"/>
            <wp:effectExtent l="0" t="0" r="4445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2415" w:rsidRDefault="00C02415">
      <w:bookmarkStart w:id="29" w:name="_GoBack"/>
      <w:bookmarkEnd w:id="29"/>
    </w:p>
    <w:sectPr w:rsidR="00C0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3"/>
    <w:rsid w:val="00C02415"/>
    <w:rsid w:val="00FA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Сведения об объектах надзора в 1 квартале 20</a:t>
            </a:r>
            <a:r>
              <a:rPr lang="en-US"/>
              <a:t>2</a:t>
            </a:r>
            <a:r>
              <a:rPr lang="ru-RU"/>
              <a:t>2 года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092233663099807"/>
          <c:y val="0.33613590070282984"/>
          <c:w val="0.54785777111906986"/>
          <c:h val="0.471509273871478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объктах надзора</c:v>
                </c:pt>
              </c:strCache>
            </c:strRef>
          </c:tx>
          <c:dLbls>
            <c:dLbl>
              <c:idx val="0"/>
              <c:layout>
                <c:manualLayout>
                  <c:x val="-0.16599908344790401"/>
                  <c:y val="-0.10422031416927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765820939049309E-2"/>
                  <c:y val="0.10379298065128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959255093113362E-2"/>
                  <c:y val="-5.4224139068043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863933674957364E-2"/>
                  <c:y val="-5.7882588797003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981169020539085E-2"/>
                  <c:y val="-6.5268600218942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1473565804274549E-3"/>
                  <c:y val="-4.4330576768356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7519226763321496E-2"/>
                  <c:y val="-1.75299067516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↑ 10% Операторы ПД</c:v>
                </c:pt>
                <c:pt idx="1">
                  <c:v>↓ 50% Владельцы РЭС</c:v>
                </c:pt>
                <c:pt idx="2">
                  <c:v>↓ 2% Операторы связи</c:v>
                </c:pt>
                <c:pt idx="3">
                  <c:v>↓ 8% СМИ</c:v>
                </c:pt>
                <c:pt idx="4">
                  <c:v>↓ 3% Вещатели</c:v>
                </c:pt>
                <c:pt idx="5">
                  <c:v>↑ 2% Владельцы франк.машин</c:v>
                </c:pt>
                <c:pt idx="6">
                  <c:v>↓ 13% Владельцы ВЧУ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24958</c:v>
                </c:pt>
                <c:pt idx="1">
                  <c:v>1012</c:v>
                </c:pt>
                <c:pt idx="2">
                  <c:v>4923</c:v>
                </c:pt>
                <c:pt idx="3">
                  <c:v>1487</c:v>
                </c:pt>
                <c:pt idx="4">
                  <c:v>621</c:v>
                </c:pt>
                <c:pt idx="5">
                  <c:v>52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2349417861229009E-4"/>
          <c:y val="0.10737764044850659"/>
          <c:w val="0.51389763779527564"/>
          <c:h val="0.8925077732781661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Выданные предписания за 202</a:t>
            </a:r>
            <a:r>
              <a:rPr lang="en-US" sz="1400"/>
              <a:t>2</a:t>
            </a:r>
            <a:r>
              <a:rPr lang="ru-RU" sz="1400"/>
              <a:t> г.</a:t>
            </a:r>
          </a:p>
        </c:rich>
      </c:tx>
      <c:layout>
        <c:manualLayout>
          <c:xMode val="edge"/>
          <c:yMode val="edge"/>
          <c:x val="3.8817482373526842E-2"/>
          <c:y val="8.10019171896358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305470624583726E-2"/>
          <c:y val="0.22005212796343887"/>
          <c:w val="0.30372567429842012"/>
          <c:h val="0.67565624107398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Выданные предписания за первый квартал 2018г.</c:v>
                </c:pt>
              </c:strCache>
            </c:strRef>
          </c:tx>
          <c:explosion val="4"/>
          <c:dLbls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АО «Каршеринг»</c:v>
                </c:pt>
                <c:pt idx="1">
                  <c:v>ООО «Каршеринг Руссия»</c:v>
                </c:pt>
                <c:pt idx="2">
                  <c:v>ООО «СКАРТЕЛ»</c:v>
                </c:pt>
                <c:pt idx="3">
                  <c:v>ООО МФК  «ВЭББАНКИР»</c:v>
                </c:pt>
                <c:pt idx="4">
                  <c:v>ООО МФК «Мани Мен»</c:v>
                </c:pt>
                <c:pt idx="5">
                  <c:v>ПАО «ВымпелКом»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888102540538885"/>
          <c:y val="0.21267488319158664"/>
          <c:w val="0.438134271167544"/>
          <c:h val="0.7064256160001755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12</c:v>
                </c:pt>
                <c:pt idx="2">
                  <c:v>14</c:v>
                </c:pt>
                <c:pt idx="3">
                  <c:v>5</c:v>
                </c:pt>
                <c:pt idx="4">
                  <c:v>194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СН Вещ</c:v>
                </c:pt>
                <c:pt idx="1">
                  <c:v>СН ОС</c:v>
                </c:pt>
                <c:pt idx="2">
                  <c:v>ПД</c:v>
                </c:pt>
                <c:pt idx="3">
                  <c:v>СН почты</c:v>
                </c:pt>
                <c:pt idx="4">
                  <c:v>СН СМИ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120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4081792"/>
        <c:axId val="232949440"/>
        <c:axId val="0"/>
      </c:bar3DChart>
      <c:catAx>
        <c:axId val="234081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949440"/>
        <c:crosses val="autoZero"/>
        <c:auto val="1"/>
        <c:lblAlgn val="ctr"/>
        <c:lblOffset val="100"/>
        <c:noMultiLvlLbl val="1"/>
      </c:catAx>
      <c:valAx>
        <c:axId val="232949440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crossAx val="234081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СН ОС</c:v>
                </c:pt>
                <c:pt idx="2">
                  <c:v>СН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7</c:v>
                </c:pt>
                <c:pt idx="2">
                  <c:v>2</c:v>
                </c:pt>
                <c:pt idx="3">
                  <c:v>47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СН Вещ</c:v>
                </c:pt>
                <c:pt idx="1">
                  <c:v>СН ОС</c:v>
                </c:pt>
                <c:pt idx="2">
                  <c:v>СН почты</c:v>
                </c:pt>
                <c:pt idx="3">
                  <c:v>СН СМИ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  <c:pt idx="2">
                  <c:v>2</c:v>
                </c:pt>
                <c:pt idx="3">
                  <c:v>45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5903488"/>
        <c:axId val="232951744"/>
        <c:axId val="0"/>
      </c:bar3DChart>
      <c:catAx>
        <c:axId val="23590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951744"/>
        <c:crosses val="autoZero"/>
        <c:auto val="1"/>
        <c:lblAlgn val="ctr"/>
        <c:lblOffset val="100"/>
        <c:noMultiLvlLbl val="1"/>
      </c:catAx>
      <c:valAx>
        <c:axId val="232951744"/>
        <c:scaling>
          <c:orientation val="minMax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crossAx val="235903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7.3578302712160856E-2"/>
          <c:y val="4.3650793650793732E-2"/>
          <c:w val="0.80064377369495665"/>
          <c:h val="0.73199725034371588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2.3226353925741478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84235950494238E-2"/>
                  <c:y val="-1.3580251534060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22823966996231E-2"/>
                  <c:y val="-6.790125767030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протоколов</c:v>
                </c:pt>
                <c:pt idx="1">
                  <c:v>Количество предписаний</c:v>
                </c:pt>
                <c:pt idx="2">
                  <c:v>Количество нарушений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6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361344"/>
        <c:axId val="232952896"/>
        <c:axId val="0"/>
      </c:bar3DChart>
      <c:catAx>
        <c:axId val="23436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952896"/>
        <c:crosses val="autoZero"/>
        <c:auto val="1"/>
        <c:lblAlgn val="ctr"/>
        <c:lblOffset val="100"/>
        <c:noMultiLvlLbl val="1"/>
      </c:catAx>
      <c:valAx>
        <c:axId val="23295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4361344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1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18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1"/>
          <c:cat>
            <c:strRef>
              <c:f>Лист1!$A$2:$A$3</c:f>
              <c:strCache>
                <c:ptCount val="2"/>
                <c:pt idx="0">
                  <c:v>СН Вещ</c:v>
                </c:pt>
                <c:pt idx="1">
                  <c:v>СН СМИ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18</c:v>
                </c:pt>
              </c:numCache>
            </c:numRef>
          </c:val>
          <c:extLst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w14="http://schemas.microsoft.com/office/word/2010/wordml" xmlns:m="http://schemas.openxmlformats.org/officeDocument/2006/math" xmlns:w="http://schemas.openxmlformats.org/wordprocessingml/2006/main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6368896"/>
        <c:axId val="232954624"/>
        <c:axId val="0"/>
      </c:bar3DChart>
      <c:catAx>
        <c:axId val="236368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954624"/>
        <c:crosses val="autoZero"/>
        <c:auto val="1"/>
        <c:lblAlgn val="ctr"/>
        <c:lblOffset val="100"/>
        <c:noMultiLvlLbl val="1"/>
      </c:catAx>
      <c:valAx>
        <c:axId val="232954624"/>
        <c:scaling>
          <c:orientation val="minMax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2363688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1"/>
  </c:chart>
  <c:spPr>
    <a:ln>
      <a:noFill/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0.2796</cdr:x>
      <cdr:y>0.23929</cdr:y>
    </cdr:from>
    <cdr:to>
      <cdr:x>0.40508</cdr:x>
      <cdr:y>0.33818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1660940" y="865808"/>
          <a:ext cx="745435" cy="35780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Зеева Татьяна Ивановна</dc:creator>
  <cp:lastModifiedBy>Зеева Татьяна Ивановна</cp:lastModifiedBy>
  <cp:revision>1</cp:revision>
  <dcterms:created xsi:type="dcterms:W3CDTF">2023-05-03T07:54:00Z</dcterms:created>
  <dcterms:modified xsi:type="dcterms:W3CDTF">2023-05-03T07:55:00Z</dcterms:modified>
</cp:coreProperties>
</file>