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29.06.2021 N 1046</w:t>
              <w:br/>
              <w:t xml:space="preserve">(ред. от 16.12.2021)</w:t>
              <w:br/>
              <w:t xml:space="preserve">"О федеральном государственном контроле (надзоре) за обработкой персональных данных"</w:t>
              <w:br/>
              <w:t xml:space="preserve">(вместе с "Положением о федеральном государственном контроле (надзоре) за обработкой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июня 2021 г. N 1046</w:t>
      </w:r>
    </w:p>
    <w:p>
      <w:pPr>
        <w:pStyle w:val="2"/>
        <w:jc w:val="center"/>
      </w:pPr>
      <w:r>
        <w:rPr>
          <w:sz w:val="20"/>
        </w:rPr>
      </w:r>
    </w:p>
    <w:p>
      <w:pPr>
        <w:pStyle w:val="2"/>
        <w:jc w:val="center"/>
      </w:pPr>
      <w:r>
        <w:rPr>
          <w:sz w:val="20"/>
        </w:rPr>
        <w:t xml:space="preserve">О ФЕДЕРАЛЬНОМ ГОСУДАРСТВЕННОМ КОНТРОЛЕ (НАДЗОРЕ)</w:t>
      </w:r>
    </w:p>
    <w:p>
      <w:pPr>
        <w:pStyle w:val="2"/>
        <w:jc w:val="center"/>
      </w:pPr>
      <w:r>
        <w:rPr>
          <w:sz w:val="20"/>
        </w:rPr>
        <w:t xml:space="preserve">ЗА ОБРАБОТКОЙ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6.12.2021 N 2311 &quot;О внесении изменений в Положение о федеральном государственном контроле (надзоре) за обработкой персональных данных&quot; {КонсультантПлюс}">
              <w:r>
                <w:rPr>
                  <w:sz w:val="20"/>
                  <w:color w:val="0000ff"/>
                </w:rPr>
                <w:t xml:space="preserve">Постановления</w:t>
              </w:r>
            </w:hyperlink>
            <w:r>
              <w:rPr>
                <w:sz w:val="20"/>
                <w:color w:val="392c69"/>
              </w:rPr>
              <w:t xml:space="preserve"> Правительства РФ от 16.12.2021 N 2311)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w:t>
      </w:r>
    </w:p>
    <w:p>
      <w:pPr>
        <w:pStyle w:val="0"/>
        <w:spacing w:before="200" w:line-rule="auto"/>
        <w:ind w:firstLine="540"/>
        <w:jc w:val="both"/>
      </w:pPr>
      <w:r>
        <w:rPr>
          <w:sz w:val="20"/>
        </w:rPr>
        <w:t xml:space="preserve">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 силу </w:t>
      </w:r>
      <w:hyperlink w:history="0" r:id="rId8" w:tooltip="Постановление Правительства РФ от 13.02.2019 N 146 &quot;Об утверждении Правил организации и осуществления государственного контроля и надзора за обработкой персональных данных&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pPr>
        <w:pStyle w:val="0"/>
        <w:spacing w:before="200" w:line-rule="auto"/>
        <w:ind w:firstLine="540"/>
        <w:jc w:val="both"/>
      </w:pPr>
      <w:r>
        <w:rPr>
          <w:sz w:val="20"/>
        </w:rPr>
        <w:t xml:space="preserve">4. Настоящее постановление вступает в силу с 1 июля 2021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июня 2021 г. N 1046</w:t>
      </w:r>
    </w:p>
    <w:p>
      <w:pPr>
        <w:pStyle w:val="0"/>
        <w:jc w:val="center"/>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ФЕДЕРАЛЬНОМ ГОСУДАРСТВЕННОМ КОНТРОЛЕ (НАДЗОРЕ)</w:t>
      </w:r>
    </w:p>
    <w:p>
      <w:pPr>
        <w:pStyle w:val="2"/>
        <w:jc w:val="center"/>
      </w:pPr>
      <w:r>
        <w:rPr>
          <w:sz w:val="20"/>
        </w:rPr>
        <w:t xml:space="preserve">ЗА ОБРАБОТКОЙ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16.12.2021 N 2311 &quot;О внесении изменений в Положение о федеральном государственном контроле (надзоре) за обработкой персональных данных&quot; {КонсультантПлюс}">
              <w:r>
                <w:rPr>
                  <w:sz w:val="20"/>
                  <w:color w:val="0000ff"/>
                </w:rPr>
                <w:t xml:space="preserve">Постановления</w:t>
              </w:r>
            </w:hyperlink>
            <w:r>
              <w:rPr>
                <w:sz w:val="20"/>
                <w:color w:val="392c69"/>
              </w:rPr>
              <w:t xml:space="preserve"> Правительства РФ от 16.12.2021 N 2311)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pPr>
        <w:pStyle w:val="0"/>
        <w:spacing w:before="200" w:line-rule="auto"/>
        <w:ind w:firstLine="540"/>
        <w:jc w:val="both"/>
      </w:pPr>
      <w:r>
        <w:rPr>
          <w:sz w:val="20"/>
        </w:rPr>
        <w:t xml:space="preserve">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w:t>
      </w:r>
      <w:hyperlink w:history="0" r:id="rId1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pPr>
        <w:pStyle w:val="0"/>
        <w:spacing w:before="200" w:line-rule="auto"/>
        <w:ind w:firstLine="540"/>
        <w:jc w:val="both"/>
      </w:pPr>
      <w:r>
        <w:rPr>
          <w:sz w:val="20"/>
        </w:rPr>
        <w:t xml:space="preserve">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pPr>
        <w:pStyle w:val="0"/>
        <w:spacing w:before="200" w:line-rule="auto"/>
        <w:ind w:firstLine="540"/>
        <w:jc w:val="both"/>
      </w:pPr>
      <w:r>
        <w:rPr>
          <w:sz w:val="20"/>
        </w:rPr>
        <w:t xml:space="preserve">а) руководитель контролирующего органа;</w:t>
      </w:r>
    </w:p>
    <w:p>
      <w:pPr>
        <w:pStyle w:val="0"/>
        <w:spacing w:before="200" w:line-rule="auto"/>
        <w:ind w:firstLine="540"/>
        <w:jc w:val="both"/>
      </w:pPr>
      <w:r>
        <w:rPr>
          <w:sz w:val="20"/>
        </w:rPr>
        <w:t xml:space="preserve">б) заместитель руководителя контролирующего органа;</w:t>
      </w:r>
    </w:p>
    <w:p>
      <w:pPr>
        <w:pStyle w:val="0"/>
        <w:spacing w:before="200" w:line-rule="auto"/>
        <w:ind w:firstLine="540"/>
        <w:jc w:val="both"/>
      </w:pPr>
      <w:r>
        <w:rPr>
          <w:sz w:val="20"/>
        </w:rPr>
        <w:t xml:space="preserve">в) руководитель территориального органа контролирующего органа;</w:t>
      </w:r>
    </w:p>
    <w:p>
      <w:pPr>
        <w:pStyle w:val="0"/>
        <w:spacing w:before="200" w:line-rule="auto"/>
        <w:ind w:firstLine="540"/>
        <w:jc w:val="both"/>
      </w:pPr>
      <w:r>
        <w:rPr>
          <w:sz w:val="20"/>
        </w:rPr>
        <w:t xml:space="preserve">г) заместитель руководителя территориального органа контролирующего органа;</w:t>
      </w:r>
    </w:p>
    <w:p>
      <w:pPr>
        <w:pStyle w:val="0"/>
        <w:spacing w:before="200" w:line-rule="auto"/>
        <w:ind w:firstLine="540"/>
        <w:jc w:val="both"/>
      </w:pPr>
      <w:r>
        <w:rPr>
          <w:sz w:val="20"/>
        </w:rPr>
        <w:t xml:space="preserve">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4. Должностными лицами, уполномоченными на принятие решений о проведении контрольных (надзорных) мероприятий, являются:</w:t>
      </w:r>
    </w:p>
    <w:p>
      <w:pPr>
        <w:pStyle w:val="0"/>
        <w:spacing w:before="200" w:line-rule="auto"/>
        <w:ind w:firstLine="540"/>
        <w:jc w:val="both"/>
      </w:pPr>
      <w:r>
        <w:rPr>
          <w:sz w:val="20"/>
        </w:rPr>
        <w:t xml:space="preserve">а) руководитель контролирующего органа;</w:t>
      </w:r>
    </w:p>
    <w:p>
      <w:pPr>
        <w:pStyle w:val="0"/>
        <w:spacing w:before="200" w:line-rule="auto"/>
        <w:ind w:firstLine="540"/>
        <w:jc w:val="both"/>
      </w:pPr>
      <w:r>
        <w:rPr>
          <w:sz w:val="20"/>
        </w:rPr>
        <w:t xml:space="preserve">б) заместитель руководителя контролирующего органа;</w:t>
      </w:r>
    </w:p>
    <w:p>
      <w:pPr>
        <w:pStyle w:val="0"/>
        <w:spacing w:before="200" w:line-rule="auto"/>
        <w:ind w:firstLine="540"/>
        <w:jc w:val="both"/>
      </w:pPr>
      <w:r>
        <w:rPr>
          <w:sz w:val="20"/>
        </w:rPr>
        <w:t xml:space="preserve">в) руководитель территориального органа контролирующего органа;</w:t>
      </w:r>
    </w:p>
    <w:p>
      <w:pPr>
        <w:pStyle w:val="0"/>
        <w:spacing w:before="200" w:line-rule="auto"/>
        <w:ind w:firstLine="540"/>
        <w:jc w:val="both"/>
      </w:pPr>
      <w:r>
        <w:rPr>
          <w:sz w:val="20"/>
        </w:rPr>
        <w:t xml:space="preserve">г) заместитель руководителя территориального органа контролирующего органа.</w:t>
      </w:r>
    </w:p>
    <w:p>
      <w:pPr>
        <w:pStyle w:val="0"/>
        <w:spacing w:before="200" w:line-rule="auto"/>
        <w:ind w:firstLine="540"/>
        <w:jc w:val="both"/>
      </w:pPr>
      <w:r>
        <w:rPr>
          <w:sz w:val="20"/>
        </w:rP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w:history="0" r:id="rId1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29</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w:history="0" r:id="rId1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ind w:firstLine="540"/>
        <w:jc w:val="both"/>
      </w:pPr>
      <w:r>
        <w:rPr>
          <w:sz w:val="20"/>
        </w:rPr>
      </w:r>
    </w:p>
    <w:p>
      <w:pPr>
        <w:pStyle w:val="2"/>
        <w:outlineLvl w:val="2"/>
        <w:jc w:val="center"/>
      </w:pPr>
      <w:r>
        <w:rPr>
          <w:sz w:val="20"/>
        </w:rPr>
        <w:t xml:space="preserve">Объекты контроля</w:t>
      </w:r>
    </w:p>
    <w:p>
      <w:pPr>
        <w:pStyle w:val="0"/>
        <w:jc w:val="center"/>
      </w:pPr>
      <w:r>
        <w:rPr>
          <w:sz w:val="20"/>
        </w:rPr>
      </w:r>
    </w:p>
    <w:p>
      <w:pPr>
        <w:pStyle w:val="0"/>
        <w:ind w:firstLine="540"/>
        <w:jc w:val="both"/>
      </w:pPr>
      <w:r>
        <w:rPr>
          <w:sz w:val="20"/>
        </w:rPr>
        <w:t xml:space="preserve">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pPr>
        <w:pStyle w:val="0"/>
        <w:spacing w:before="200" w:line-rule="auto"/>
        <w:ind w:firstLine="540"/>
        <w:jc w:val="both"/>
      </w:pPr>
      <w:r>
        <w:rPr>
          <w:sz w:val="20"/>
        </w:rPr>
        <w:t xml:space="preserve">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pPr>
        <w:pStyle w:val="0"/>
        <w:spacing w:before="200" w:line-rule="auto"/>
        <w:ind w:firstLine="540"/>
        <w:jc w:val="both"/>
      </w:pPr>
      <w:r>
        <w:rPr>
          <w:sz w:val="20"/>
        </w:rP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w:history="0" r:id="rId13" w:tooltip="Федеральный закон от 27.07.2006 N 152-ФЗ (ред. от 06.02.2023) &quot;О персональных данных&quot; {КонсультантПлюс}">
        <w:r>
          <w:rPr>
            <w:sz w:val="20"/>
            <w:color w:val="0000ff"/>
          </w:rPr>
          <w:t xml:space="preserve">части 1 статьи 18.1</w:t>
        </w:r>
      </w:hyperlink>
      <w:r>
        <w:rPr>
          <w:sz w:val="20"/>
        </w:rPr>
        <w:t xml:space="preserve"> Федерального закона "О персональных данных", и принятых оператором мер, указанных в </w:t>
      </w:r>
      <w:hyperlink w:history="0" r:id="rId14" w:tooltip="Федеральный закон от 27.07.2006 N 152-ФЗ (ред. от 06.02.2023) &quot;О персональных данных&quot; {КонсультантПлюс}">
        <w:r>
          <w:rPr>
            <w:sz w:val="20"/>
            <w:color w:val="0000ff"/>
          </w:rPr>
          <w:t xml:space="preserve">части 1 статьи 18.1</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pPr>
        <w:pStyle w:val="0"/>
        <w:spacing w:before="200" w:line-rule="auto"/>
        <w:ind w:firstLine="540"/>
        <w:jc w:val="both"/>
      </w:pPr>
      <w:r>
        <w:rPr>
          <w:sz w:val="20"/>
        </w:rPr>
        <w:t xml:space="preserve">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pPr>
        <w:pStyle w:val="0"/>
        <w:spacing w:before="200" w:line-rule="auto"/>
        <w:ind w:firstLine="540"/>
        <w:jc w:val="both"/>
      </w:pPr>
      <w:r>
        <w:rPr>
          <w:sz w:val="20"/>
        </w:rP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w:history="0" r:id="rId15" w:tooltip="Федеральный закон от 27.07.2006 N 152-ФЗ (ред. от 06.02.2023) &quot;О персональных данных&quot; {КонсультантПлюс}">
        <w:r>
          <w:rPr>
            <w:sz w:val="20"/>
            <w:color w:val="0000ff"/>
          </w:rPr>
          <w:t xml:space="preserve">статьей 22</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полученной в рамках межведомственного взаимодействия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pPr>
        <w:pStyle w:val="0"/>
        <w:spacing w:before="200" w:line-rule="auto"/>
        <w:ind w:firstLine="540"/>
        <w:jc w:val="both"/>
      </w:pPr>
      <w:r>
        <w:rPr>
          <w:sz w:val="20"/>
        </w:rPr>
        <w:t xml:space="preserve">полученной из общедоступных источников информации.</w:t>
      </w:r>
    </w:p>
    <w:p>
      <w:pPr>
        <w:pStyle w:val="0"/>
        <w:spacing w:before="200" w:line-rule="auto"/>
        <w:ind w:firstLine="540"/>
        <w:jc w:val="both"/>
      </w:pPr>
      <w:r>
        <w:rPr>
          <w:sz w:val="20"/>
        </w:rPr>
        <w:t xml:space="preserve">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pPr>
        <w:pStyle w:val="0"/>
        <w:ind w:firstLine="540"/>
        <w:jc w:val="both"/>
      </w:pPr>
      <w:r>
        <w:rPr>
          <w:sz w:val="20"/>
        </w:rPr>
      </w:r>
    </w:p>
    <w:p>
      <w:pPr>
        <w:pStyle w:val="2"/>
        <w:outlineLvl w:val="1"/>
        <w:jc w:val="center"/>
      </w:pPr>
      <w:r>
        <w:rPr>
          <w:sz w:val="20"/>
        </w:rPr>
        <w:t xml:space="preserve">II. Управление рисками причинения вреда (ущерба)</w:t>
      </w:r>
    </w:p>
    <w:p>
      <w:pPr>
        <w:pStyle w:val="2"/>
        <w:jc w:val="center"/>
      </w:pPr>
      <w:r>
        <w:rPr>
          <w:sz w:val="20"/>
        </w:rPr>
        <w:t xml:space="preserve">охраняемым законом ценностям при осуществлении</w:t>
      </w:r>
    </w:p>
    <w:p>
      <w:pPr>
        <w:pStyle w:val="2"/>
        <w:jc w:val="center"/>
      </w:pPr>
      <w:r>
        <w:rPr>
          <w:sz w:val="20"/>
        </w:rPr>
        <w:t xml:space="preserve">государственного контроля (надзора)</w:t>
      </w:r>
    </w:p>
    <w:p>
      <w:pPr>
        <w:pStyle w:val="0"/>
        <w:ind w:firstLine="540"/>
        <w:jc w:val="both"/>
      </w:pPr>
      <w:r>
        <w:rPr>
          <w:sz w:val="20"/>
        </w:rPr>
      </w:r>
    </w:p>
    <w:p>
      <w:pPr>
        <w:pStyle w:val="0"/>
        <w:ind w:firstLine="540"/>
        <w:jc w:val="both"/>
      </w:pPr>
      <w:r>
        <w:rPr>
          <w:sz w:val="20"/>
        </w:rPr>
        <w:t xml:space="preserve">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pPr>
        <w:pStyle w:val="0"/>
        <w:spacing w:before="200" w:line-rule="auto"/>
        <w:ind w:firstLine="540"/>
        <w:jc w:val="both"/>
      </w:pPr>
      <w:r>
        <w:rPr>
          <w:sz w:val="20"/>
        </w:rPr>
        <w:t xml:space="preserve">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а) высокий риск;</w:t>
      </w:r>
    </w:p>
    <w:p>
      <w:pPr>
        <w:pStyle w:val="0"/>
        <w:spacing w:before="200" w:line-rule="auto"/>
        <w:ind w:firstLine="540"/>
        <w:jc w:val="both"/>
      </w:pPr>
      <w:r>
        <w:rPr>
          <w:sz w:val="20"/>
        </w:rPr>
        <w:t xml:space="preserve">б) значительный риск;</w:t>
      </w:r>
    </w:p>
    <w:p>
      <w:pPr>
        <w:pStyle w:val="0"/>
        <w:spacing w:before="200" w:line-rule="auto"/>
        <w:ind w:firstLine="540"/>
        <w:jc w:val="both"/>
      </w:pPr>
      <w:r>
        <w:rPr>
          <w:sz w:val="20"/>
        </w:rPr>
        <w:t xml:space="preserve">в) средний риск;</w:t>
      </w:r>
    </w:p>
    <w:p>
      <w:pPr>
        <w:pStyle w:val="0"/>
        <w:spacing w:before="200" w:line-rule="auto"/>
        <w:ind w:firstLine="540"/>
        <w:jc w:val="both"/>
      </w:pPr>
      <w:r>
        <w:rPr>
          <w:sz w:val="20"/>
        </w:rPr>
        <w:t xml:space="preserve">г) умеренный риск;</w:t>
      </w:r>
    </w:p>
    <w:p>
      <w:pPr>
        <w:pStyle w:val="0"/>
        <w:spacing w:before="200" w:line-rule="auto"/>
        <w:ind w:firstLine="540"/>
        <w:jc w:val="both"/>
      </w:pPr>
      <w:r>
        <w:rPr>
          <w:sz w:val="20"/>
        </w:rPr>
        <w:t xml:space="preserve">д) низкий риск.</w:t>
      </w:r>
    </w:p>
    <w:p>
      <w:pPr>
        <w:pStyle w:val="0"/>
        <w:ind w:firstLine="540"/>
        <w:jc w:val="both"/>
      </w:pPr>
      <w:r>
        <w:rPr>
          <w:sz w:val="20"/>
        </w:rPr>
      </w:r>
    </w:p>
    <w:p>
      <w:pPr>
        <w:pStyle w:val="2"/>
        <w:outlineLvl w:val="2"/>
        <w:jc w:val="center"/>
      </w:pPr>
      <w:r>
        <w:rPr>
          <w:sz w:val="20"/>
        </w:rPr>
        <w:t xml:space="preserve">Критерии отнесения объектов государственного</w:t>
      </w:r>
    </w:p>
    <w:p>
      <w:pPr>
        <w:pStyle w:val="2"/>
        <w:jc w:val="center"/>
      </w:pPr>
      <w:r>
        <w:rPr>
          <w:sz w:val="20"/>
        </w:rPr>
        <w:t xml:space="preserve">контроля (надзора) к категориям риска</w:t>
      </w:r>
    </w:p>
    <w:p>
      <w:pPr>
        <w:pStyle w:val="0"/>
        <w:jc w:val="center"/>
      </w:pPr>
      <w:r>
        <w:rPr>
          <w:sz w:val="20"/>
        </w:rPr>
      </w:r>
    </w:p>
    <w:p>
      <w:pPr>
        <w:pStyle w:val="0"/>
        <w:ind w:firstLine="540"/>
        <w:jc w:val="both"/>
      </w:pPr>
      <w:r>
        <w:rPr>
          <w:sz w:val="20"/>
        </w:rP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history="0" w:anchor="P313" w:tooltip="КРИТЕРИИ">
        <w:r>
          <w:rPr>
            <w:sz w:val="20"/>
            <w:color w:val="0000ff"/>
          </w:rPr>
          <w:t xml:space="preserve">приложению</w:t>
        </w:r>
      </w:hyperlink>
      <w:r>
        <w:rPr>
          <w:sz w:val="20"/>
        </w:rPr>
        <w:t xml:space="preserve">.</w:t>
      </w:r>
    </w:p>
    <w:p>
      <w:pPr>
        <w:pStyle w:val="0"/>
        <w:ind w:firstLine="540"/>
        <w:jc w:val="both"/>
      </w:pPr>
      <w:r>
        <w:rPr>
          <w:sz w:val="20"/>
        </w:rPr>
      </w:r>
    </w:p>
    <w:p>
      <w:pPr>
        <w:pStyle w:val="2"/>
        <w:outlineLvl w:val="2"/>
        <w:jc w:val="center"/>
      </w:pPr>
      <w:r>
        <w:rPr>
          <w:sz w:val="20"/>
        </w:rPr>
        <w:t xml:space="preserve">Учет рисков причинения вреда (ущерба)</w:t>
      </w:r>
    </w:p>
    <w:p>
      <w:pPr>
        <w:pStyle w:val="2"/>
        <w:jc w:val="center"/>
      </w:pPr>
      <w:r>
        <w:rPr>
          <w:sz w:val="20"/>
        </w:rPr>
        <w:t xml:space="preserve">охраняемым законом ценностям при проведении контрольных</w:t>
      </w:r>
    </w:p>
    <w:p>
      <w:pPr>
        <w:pStyle w:val="2"/>
        <w:jc w:val="center"/>
      </w:pPr>
      <w:r>
        <w:rPr>
          <w:sz w:val="20"/>
        </w:rPr>
        <w:t xml:space="preserve">(надзорных) мероприятий</w:t>
      </w:r>
    </w:p>
    <w:p>
      <w:pPr>
        <w:pStyle w:val="0"/>
        <w:jc w:val="center"/>
      </w:pPr>
      <w:r>
        <w:rPr>
          <w:sz w:val="20"/>
        </w:rPr>
      </w:r>
    </w:p>
    <w:p>
      <w:pPr>
        <w:pStyle w:val="0"/>
        <w:ind w:firstLine="540"/>
        <w:jc w:val="both"/>
      </w:pPr>
      <w:r>
        <w:rPr>
          <w:sz w:val="20"/>
        </w:rPr>
        <w:t xml:space="preserve">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pPr>
        <w:pStyle w:val="0"/>
        <w:spacing w:before="200" w:line-rule="auto"/>
        <w:ind w:firstLine="540"/>
        <w:jc w:val="both"/>
      </w:pPr>
      <w:r>
        <w:rPr>
          <w:sz w:val="20"/>
        </w:rPr>
        <w:t xml:space="preserve">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pPr>
        <w:pStyle w:val="0"/>
        <w:spacing w:before="200" w:line-rule="auto"/>
        <w:ind w:firstLine="540"/>
        <w:jc w:val="both"/>
      </w:pPr>
      <w:r>
        <w:rPr>
          <w:sz w:val="20"/>
        </w:rPr>
        <w:t xml:space="preserve">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pPr>
        <w:pStyle w:val="0"/>
        <w:spacing w:before="200" w:line-rule="auto"/>
        <w:ind w:firstLine="540"/>
        <w:jc w:val="both"/>
      </w:pPr>
      <w:r>
        <w:rPr>
          <w:sz w:val="20"/>
        </w:rPr>
        <w:t xml:space="preserve">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pPr>
        <w:pStyle w:val="0"/>
        <w:spacing w:before="200" w:line-rule="auto"/>
        <w:ind w:firstLine="540"/>
        <w:jc w:val="both"/>
      </w:pPr>
      <w:r>
        <w:rPr>
          <w:sz w:val="20"/>
        </w:rPr>
        <w:t xml:space="preserve">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pPr>
        <w:pStyle w:val="0"/>
        <w:spacing w:before="200" w:line-rule="auto"/>
        <w:ind w:firstLine="540"/>
        <w:jc w:val="both"/>
      </w:pPr>
      <w:r>
        <w:rPr>
          <w:sz w:val="20"/>
        </w:rPr>
        <w:t xml:space="preserve">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pPr>
        <w:pStyle w:val="0"/>
        <w:ind w:firstLine="540"/>
        <w:jc w:val="both"/>
      </w:pPr>
      <w:r>
        <w:rPr>
          <w:sz w:val="20"/>
        </w:rPr>
      </w:r>
    </w:p>
    <w:p>
      <w:pPr>
        <w:pStyle w:val="2"/>
        <w:outlineLvl w:val="1"/>
        <w:jc w:val="center"/>
      </w:pPr>
      <w:r>
        <w:rPr>
          <w:sz w:val="20"/>
        </w:rPr>
        <w:t xml:space="preserve">III. Профилактика рисков причинения вреда (ущерба)</w:t>
      </w:r>
    </w:p>
    <w:p>
      <w:pPr>
        <w:pStyle w:val="2"/>
        <w:jc w:val="center"/>
      </w:pPr>
      <w:r>
        <w:rPr>
          <w:sz w:val="20"/>
        </w:rPr>
        <w:t xml:space="preserve">охраняемым законом ценностям</w:t>
      </w:r>
    </w:p>
    <w:p>
      <w:pPr>
        <w:pStyle w:val="0"/>
        <w:ind w:firstLine="540"/>
        <w:jc w:val="both"/>
      </w:pPr>
      <w:r>
        <w:rPr>
          <w:sz w:val="20"/>
        </w:rPr>
      </w:r>
    </w:p>
    <w:p>
      <w:pPr>
        <w:pStyle w:val="0"/>
        <w:ind w:firstLine="540"/>
        <w:jc w:val="both"/>
      </w:pPr>
      <w:r>
        <w:rPr>
          <w:sz w:val="20"/>
        </w:rPr>
        <w:t xml:space="preserve">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предостережения;</w:t>
      </w:r>
    </w:p>
    <w:p>
      <w:pPr>
        <w:pStyle w:val="0"/>
        <w:spacing w:before="200" w:line-rule="auto"/>
        <w:ind w:firstLine="540"/>
        <w:jc w:val="both"/>
      </w:pPr>
      <w:r>
        <w:rPr>
          <w:sz w:val="20"/>
        </w:rPr>
        <w:t xml:space="preserve">г) консультирование;</w:t>
      </w:r>
    </w:p>
    <w:p>
      <w:pPr>
        <w:pStyle w:val="0"/>
        <w:spacing w:before="200" w:line-rule="auto"/>
        <w:ind w:firstLine="540"/>
        <w:jc w:val="both"/>
      </w:pPr>
      <w:r>
        <w:rPr>
          <w:sz w:val="20"/>
        </w:rPr>
        <w:t xml:space="preserve">д) профилактический визит.</w:t>
      </w:r>
    </w:p>
    <w:p>
      <w:pPr>
        <w:pStyle w:val="0"/>
        <w:ind w:firstLine="540"/>
        <w:jc w:val="both"/>
      </w:pPr>
      <w:r>
        <w:rPr>
          <w:sz w:val="20"/>
        </w:rPr>
      </w:r>
    </w:p>
    <w:p>
      <w:pPr>
        <w:pStyle w:val="2"/>
        <w:outlineLvl w:val="2"/>
        <w:jc w:val="center"/>
      </w:pPr>
      <w:r>
        <w:rPr>
          <w:sz w:val="20"/>
        </w:rPr>
        <w:t xml:space="preserve">Информирование</w:t>
      </w:r>
    </w:p>
    <w:p>
      <w:pPr>
        <w:pStyle w:val="0"/>
        <w:jc w:val="center"/>
      </w:pPr>
      <w:r>
        <w:rPr>
          <w:sz w:val="20"/>
        </w:rPr>
      </w:r>
    </w:p>
    <w:p>
      <w:pPr>
        <w:pStyle w:val="0"/>
        <w:ind w:firstLine="540"/>
        <w:jc w:val="both"/>
      </w:pPr>
      <w:r>
        <w:rPr>
          <w:sz w:val="20"/>
        </w:rPr>
        <w:t xml:space="preserve">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pPr>
        <w:pStyle w:val="0"/>
        <w:spacing w:before="200" w:line-rule="auto"/>
        <w:ind w:firstLine="540"/>
        <w:jc w:val="both"/>
      </w:pPr>
      <w:r>
        <w:rPr>
          <w:sz w:val="20"/>
        </w:rP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w:history="0" r:id="rId1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2"/>
        <w:jc w:val="center"/>
      </w:pPr>
      <w:r>
        <w:rPr>
          <w:sz w:val="20"/>
        </w:rPr>
        <w:t xml:space="preserve">Обобщение правоприменительной практики</w:t>
      </w:r>
    </w:p>
    <w:p>
      <w:pPr>
        <w:pStyle w:val="0"/>
        <w:jc w:val="center"/>
      </w:pPr>
      <w:r>
        <w:rPr>
          <w:sz w:val="20"/>
        </w:rPr>
      </w:r>
    </w:p>
    <w:p>
      <w:pPr>
        <w:pStyle w:val="0"/>
        <w:ind w:firstLine="540"/>
        <w:jc w:val="both"/>
      </w:pPr>
      <w:r>
        <w:rPr>
          <w:sz w:val="20"/>
        </w:rPr>
        <w:t xml:space="preserve">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pPr>
        <w:pStyle w:val="0"/>
        <w:spacing w:before="200" w:line-rule="auto"/>
        <w:ind w:firstLine="540"/>
        <w:jc w:val="both"/>
      </w:pPr>
      <w:r>
        <w:rPr>
          <w:sz w:val="20"/>
        </w:rPr>
        <w:t xml:space="preserve">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pPr>
        <w:pStyle w:val="0"/>
        <w:ind w:firstLine="540"/>
        <w:jc w:val="both"/>
      </w:pPr>
      <w:r>
        <w:rPr>
          <w:sz w:val="20"/>
        </w:rPr>
      </w:r>
    </w:p>
    <w:p>
      <w:pPr>
        <w:pStyle w:val="2"/>
        <w:outlineLvl w:val="2"/>
        <w:jc w:val="center"/>
      </w:pPr>
      <w:r>
        <w:rPr>
          <w:sz w:val="20"/>
        </w:rPr>
        <w:t xml:space="preserve">Объявление предостережения</w:t>
      </w:r>
    </w:p>
    <w:p>
      <w:pPr>
        <w:pStyle w:val="0"/>
        <w:jc w:val="center"/>
      </w:pPr>
      <w:r>
        <w:rPr>
          <w:sz w:val="20"/>
        </w:rPr>
      </w:r>
    </w:p>
    <w:p>
      <w:pPr>
        <w:pStyle w:val="0"/>
        <w:ind w:firstLine="540"/>
        <w:jc w:val="both"/>
      </w:pPr>
      <w:r>
        <w:rPr>
          <w:sz w:val="20"/>
        </w:rP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w:history="0" r:id="rId1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49</w:t>
        </w:r>
      </w:hyperlink>
      <w:r>
        <w:rPr>
          <w:sz w:val="20"/>
        </w:rP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pPr>
        <w:pStyle w:val="0"/>
        <w:spacing w:before="200" w:line-rule="auto"/>
        <w:ind w:firstLine="540"/>
        <w:jc w:val="both"/>
      </w:pPr>
      <w:r>
        <w:rPr>
          <w:sz w:val="20"/>
        </w:rPr>
        <w:t xml:space="preserve">19. В предостережении о недопустимости нарушения обязательных требований в том числе указывается:</w:t>
      </w:r>
    </w:p>
    <w:p>
      <w:pPr>
        <w:pStyle w:val="0"/>
        <w:spacing w:before="200" w:line-rule="auto"/>
        <w:ind w:firstLine="540"/>
        <w:jc w:val="both"/>
      </w:pPr>
      <w:r>
        <w:rPr>
          <w:sz w:val="20"/>
        </w:rPr>
        <w:t xml:space="preserve">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pPr>
        <w:pStyle w:val="0"/>
        <w:spacing w:before="200" w:line-rule="auto"/>
        <w:ind w:firstLine="540"/>
        <w:jc w:val="both"/>
      </w:pPr>
      <w:r>
        <w:rPr>
          <w:sz w:val="20"/>
        </w:rPr>
        <w:t xml:space="preserve">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pPr>
        <w:pStyle w:val="0"/>
        <w:spacing w:before="200" w:line-rule="auto"/>
        <w:ind w:firstLine="540"/>
        <w:jc w:val="both"/>
      </w:pPr>
      <w:r>
        <w:rPr>
          <w:sz w:val="20"/>
        </w:rPr>
        <w:t xml:space="preserve">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pPr>
        <w:pStyle w:val="0"/>
        <w:spacing w:before="200" w:line-rule="auto"/>
        <w:ind w:firstLine="540"/>
        <w:jc w:val="both"/>
      </w:pPr>
      <w:r>
        <w:rPr>
          <w:sz w:val="20"/>
        </w:rPr>
        <w:t xml:space="preserve">В возражении контролируемым лицом указываются:</w:t>
      </w:r>
    </w:p>
    <w:p>
      <w:pPr>
        <w:pStyle w:val="0"/>
        <w:spacing w:before="200" w:line-rule="auto"/>
        <w:ind w:firstLine="540"/>
        <w:jc w:val="both"/>
      </w:pPr>
      <w:r>
        <w:rPr>
          <w:sz w:val="20"/>
        </w:rPr>
        <w:t xml:space="preserve">наименование юридического лица, фамилия, имя, отчество (при наличии) индивидуального предпринимателя;</w:t>
      </w:r>
    </w:p>
    <w:p>
      <w:pPr>
        <w:pStyle w:val="0"/>
        <w:spacing w:before="200" w:line-rule="auto"/>
        <w:ind w:firstLine="540"/>
        <w:jc w:val="both"/>
      </w:pPr>
      <w:r>
        <w:rPr>
          <w:sz w:val="20"/>
        </w:rPr>
        <w:t xml:space="preserve">дата и номер предостережения, направленного в адрес контролируемого лица;</w:t>
      </w:r>
    </w:p>
    <w:p>
      <w:pPr>
        <w:pStyle w:val="0"/>
        <w:spacing w:before="200" w:line-rule="auto"/>
        <w:ind w:firstLine="540"/>
        <w:jc w:val="both"/>
      </w:pPr>
      <w:r>
        <w:rPr>
          <w:sz w:val="20"/>
        </w:rPr>
        <w:t xml:space="preserve">идентификационный номер налогоплательщика - юридического лица, индивидуального предпринимателя;</w:t>
      </w:r>
    </w:p>
    <w:p>
      <w:pPr>
        <w:pStyle w:val="0"/>
        <w:spacing w:before="200" w:line-rule="auto"/>
        <w:ind w:firstLine="540"/>
        <w:jc w:val="both"/>
      </w:pPr>
      <w:r>
        <w:rPr>
          <w:sz w:val="20"/>
        </w:rPr>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pPr>
        <w:pStyle w:val="0"/>
        <w:spacing w:before="200" w:line-rule="auto"/>
        <w:ind w:firstLine="540"/>
        <w:jc w:val="both"/>
      </w:pPr>
      <w:r>
        <w:rPr>
          <w:sz w:val="20"/>
        </w:rPr>
        <w:t xml:space="preserve">иные документы, подтверждающие обоснованность таких возражений, или их заверенные копии (при наличии).</w:t>
      </w:r>
    </w:p>
    <w:p>
      <w:pPr>
        <w:pStyle w:val="0"/>
        <w:spacing w:before="200" w:line-rule="auto"/>
        <w:ind w:firstLine="540"/>
        <w:jc w:val="both"/>
      </w:pPr>
      <w:r>
        <w:rPr>
          <w:sz w:val="20"/>
        </w:rP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w:history="0" r:id="rId1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bookmarkStart w:id="132" w:name="P132"/>
    <w:bookmarkEnd w:id="132"/>
    <w:p>
      <w:pPr>
        <w:pStyle w:val="0"/>
        <w:spacing w:before="200" w:line-rule="auto"/>
        <w:ind w:firstLine="540"/>
        <w:jc w:val="both"/>
      </w:pPr>
      <w:r>
        <w:rPr>
          <w:sz w:val="20"/>
        </w:rPr>
        <w:t xml:space="preserve">22. Возражение рассматривается в течение 20 рабочих дней со дня регистрации возражения.</w:t>
      </w:r>
    </w:p>
    <w:p>
      <w:pPr>
        <w:pStyle w:val="0"/>
        <w:spacing w:before="200" w:line-rule="auto"/>
        <w:ind w:firstLine="540"/>
        <w:jc w:val="both"/>
      </w:pPr>
      <w:r>
        <w:rPr>
          <w:sz w:val="20"/>
        </w:rPr>
        <w:t xml:space="preserve">23. По результатам рассмотрения возражения принимается одно из следующих решений:</w:t>
      </w:r>
    </w:p>
    <w:p>
      <w:pPr>
        <w:pStyle w:val="0"/>
        <w:spacing w:before="200" w:line-rule="auto"/>
        <w:ind w:firstLine="540"/>
        <w:jc w:val="both"/>
      </w:pPr>
      <w:r>
        <w:rPr>
          <w:sz w:val="20"/>
        </w:rPr>
        <w:t xml:space="preserve">а) удовлетворить возражение в форме отмены объявленного предостережения;</w:t>
      </w:r>
    </w:p>
    <w:p>
      <w:pPr>
        <w:pStyle w:val="0"/>
        <w:spacing w:before="200" w:line-rule="auto"/>
        <w:ind w:firstLine="540"/>
        <w:jc w:val="both"/>
      </w:pPr>
      <w:r>
        <w:rPr>
          <w:sz w:val="20"/>
        </w:rPr>
        <w:t xml:space="preserve">б) отказать в удовлетворении возражения.</w:t>
      </w:r>
    </w:p>
    <w:p>
      <w:pPr>
        <w:pStyle w:val="0"/>
        <w:spacing w:before="200" w:line-rule="auto"/>
        <w:ind w:firstLine="540"/>
        <w:jc w:val="both"/>
      </w:pPr>
      <w:r>
        <w:rPr>
          <w:sz w:val="20"/>
        </w:rPr>
        <w:t xml:space="preserve">24. Не позднее дня, следующего за днем принятия решения, указанного в </w:t>
      </w:r>
      <w:hyperlink w:history="0" w:anchor="P132" w:tooltip="22. Возражение рассматривается в течение 20 рабочих дней со дня регистрации возражения.">
        <w:r>
          <w:rPr>
            <w:sz w:val="20"/>
            <w:color w:val="0000ff"/>
          </w:rPr>
          <w:t xml:space="preserve">пункте 22</w:t>
        </w:r>
      </w:hyperlink>
      <w:r>
        <w:rPr>
          <w:sz w:val="20"/>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pPr>
        <w:pStyle w:val="0"/>
        <w:spacing w:before="200" w:line-rule="auto"/>
        <w:ind w:firstLine="540"/>
        <w:jc w:val="both"/>
      </w:pPr>
      <w:r>
        <w:rPr>
          <w:sz w:val="20"/>
        </w:rPr>
        <w:t xml:space="preserve">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pPr>
        <w:pStyle w:val="0"/>
        <w:ind w:firstLine="540"/>
        <w:jc w:val="both"/>
      </w:pPr>
      <w:r>
        <w:rPr>
          <w:sz w:val="20"/>
        </w:rPr>
      </w:r>
    </w:p>
    <w:p>
      <w:pPr>
        <w:pStyle w:val="2"/>
        <w:outlineLvl w:val="2"/>
        <w:jc w:val="center"/>
      </w:pPr>
      <w:r>
        <w:rPr>
          <w:sz w:val="20"/>
        </w:rPr>
        <w:t xml:space="preserve">Консультирование</w:t>
      </w:r>
    </w:p>
    <w:p>
      <w:pPr>
        <w:pStyle w:val="0"/>
        <w:jc w:val="center"/>
      </w:pPr>
      <w:r>
        <w:rPr>
          <w:sz w:val="20"/>
        </w:rPr>
      </w:r>
    </w:p>
    <w:p>
      <w:pPr>
        <w:pStyle w:val="0"/>
        <w:ind w:firstLine="540"/>
        <w:jc w:val="both"/>
      </w:pPr>
      <w:r>
        <w:rPr>
          <w:sz w:val="20"/>
        </w:rPr>
        <w:t xml:space="preserve">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pPr>
        <w:pStyle w:val="0"/>
        <w:spacing w:before="200" w:line-rule="auto"/>
        <w:ind w:firstLine="540"/>
        <w:jc w:val="both"/>
      </w:pPr>
      <w:r>
        <w:rPr>
          <w:sz w:val="20"/>
        </w:rPr>
        <w:t xml:space="preserve">27. Должностные лица контролирующего органа (территориального органа) предоставляют консультирование по следующим вопросам:</w:t>
      </w:r>
    </w:p>
    <w:bookmarkStart w:id="143" w:name="P143"/>
    <w:bookmarkEnd w:id="143"/>
    <w:p>
      <w:pPr>
        <w:pStyle w:val="0"/>
        <w:spacing w:before="200" w:line-rule="auto"/>
        <w:ind w:firstLine="540"/>
        <w:jc w:val="both"/>
      </w:pPr>
      <w:r>
        <w:rPr>
          <w:sz w:val="20"/>
        </w:rPr>
        <w:t xml:space="preserve">а) наличие и (или) содержание обязательных требований в сфере обработки персональных данных;</w:t>
      </w:r>
    </w:p>
    <w:p>
      <w:pPr>
        <w:pStyle w:val="0"/>
        <w:spacing w:before="200" w:line-rule="auto"/>
        <w:ind w:firstLine="540"/>
        <w:jc w:val="both"/>
      </w:pPr>
      <w:r>
        <w:rPr>
          <w:sz w:val="20"/>
        </w:rPr>
        <w:t xml:space="preserve">б) периодичность и порядок проведения контрольных (надзорных) мероприятий;</w:t>
      </w:r>
    </w:p>
    <w:bookmarkStart w:id="145" w:name="P145"/>
    <w:bookmarkEnd w:id="145"/>
    <w:p>
      <w:pPr>
        <w:pStyle w:val="0"/>
        <w:spacing w:before="200" w:line-rule="auto"/>
        <w:ind w:firstLine="540"/>
        <w:jc w:val="both"/>
      </w:pPr>
      <w:r>
        <w:rPr>
          <w:sz w:val="20"/>
        </w:rPr>
        <w:t xml:space="preserve">в) порядок выполнения обязательных требований в сфере обработки персональных данных;</w:t>
      </w:r>
    </w:p>
    <w:bookmarkStart w:id="146" w:name="P146"/>
    <w:bookmarkEnd w:id="146"/>
    <w:p>
      <w:pPr>
        <w:pStyle w:val="0"/>
        <w:spacing w:before="200" w:line-rule="auto"/>
        <w:ind w:firstLine="540"/>
        <w:jc w:val="both"/>
      </w:pPr>
      <w:r>
        <w:rPr>
          <w:sz w:val="20"/>
        </w:rPr>
        <w:t xml:space="preserve">г) выполнение предписания, выданного по итогам контрольного мероприятия.</w:t>
      </w:r>
    </w:p>
    <w:p>
      <w:pPr>
        <w:pStyle w:val="0"/>
        <w:spacing w:before="200" w:line-rule="auto"/>
        <w:ind w:firstLine="540"/>
        <w:jc w:val="both"/>
      </w:pPr>
      <w:r>
        <w:rPr>
          <w:sz w:val="20"/>
        </w:rP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history="0" w:anchor="P146" w:tooltip="г) выполнение предписания, выданного по итогам контрольного мероприятия.">
        <w:r>
          <w:rPr>
            <w:sz w:val="20"/>
            <w:color w:val="0000ff"/>
          </w:rPr>
          <w:t xml:space="preserve">подпунктом "г" пункта 27</w:t>
        </w:r>
      </w:hyperlink>
      <w:r>
        <w:rPr>
          <w:sz w:val="20"/>
        </w:rPr>
        <w:t xml:space="preserve"> настоящего Положения.</w:t>
      </w:r>
    </w:p>
    <w:p>
      <w:pPr>
        <w:pStyle w:val="0"/>
        <w:spacing w:before="200" w:line-rule="auto"/>
        <w:ind w:firstLine="540"/>
        <w:jc w:val="both"/>
      </w:pPr>
      <w:r>
        <w:rPr>
          <w:sz w:val="20"/>
        </w:rPr>
        <w:t xml:space="preserve">29. Консультирование по вопросам, предусмотренным </w:t>
      </w:r>
      <w:hyperlink w:history="0" w:anchor="P143" w:tooltip="а) наличие и (или) содержание обязательных требований в сфере обработки персональных данных;">
        <w:r>
          <w:rPr>
            <w:sz w:val="20"/>
            <w:color w:val="0000ff"/>
          </w:rPr>
          <w:t xml:space="preserve">подпунктами "а"</w:t>
        </w:r>
      </w:hyperlink>
      <w:r>
        <w:rPr>
          <w:sz w:val="20"/>
        </w:rPr>
        <w:t xml:space="preserve"> - </w:t>
      </w:r>
      <w:hyperlink w:history="0" w:anchor="P145" w:tooltip="в) порядок выполнения обязательных требований в сфере обработки персональных данных;">
        <w:r>
          <w:rPr>
            <w:sz w:val="20"/>
            <w:color w:val="0000ff"/>
          </w:rPr>
          <w:t xml:space="preserve">"в" пункта 27</w:t>
        </w:r>
      </w:hyperlink>
      <w:r>
        <w:rPr>
          <w:sz w:val="20"/>
        </w:rP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pPr>
        <w:pStyle w:val="0"/>
        <w:ind w:firstLine="540"/>
        <w:jc w:val="both"/>
      </w:pPr>
      <w:r>
        <w:rPr>
          <w:sz w:val="20"/>
        </w:rPr>
      </w:r>
    </w:p>
    <w:p>
      <w:pPr>
        <w:pStyle w:val="2"/>
        <w:outlineLvl w:val="2"/>
        <w:jc w:val="center"/>
      </w:pPr>
      <w:r>
        <w:rPr>
          <w:sz w:val="20"/>
        </w:rPr>
        <w:t xml:space="preserve">Профилактический визит</w:t>
      </w:r>
    </w:p>
    <w:p>
      <w:pPr>
        <w:pStyle w:val="0"/>
        <w:jc w:val="center"/>
      </w:pPr>
      <w:r>
        <w:rPr>
          <w:sz w:val="20"/>
        </w:rPr>
      </w:r>
    </w:p>
    <w:p>
      <w:pPr>
        <w:pStyle w:val="0"/>
        <w:ind w:firstLine="540"/>
        <w:jc w:val="both"/>
      </w:pPr>
      <w:r>
        <w:rPr>
          <w:sz w:val="20"/>
        </w:rPr>
        <w:t xml:space="preserve">30. Обязательные профилактические визиты проводятся контролирующим (территориальным органом) в соответствии со </w:t>
      </w:r>
      <w:hyperlink w:history="0" r:id="rId1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52</w:t>
        </w:r>
      </w:hyperlink>
      <w:r>
        <w:rPr>
          <w:sz w:val="20"/>
        </w:rP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pPr>
        <w:pStyle w:val="0"/>
        <w:spacing w:before="200" w:line-rule="auto"/>
        <w:ind w:firstLine="540"/>
        <w:jc w:val="both"/>
      </w:pPr>
      <w:r>
        <w:rPr>
          <w:sz w:val="20"/>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pPr>
        <w:pStyle w:val="0"/>
        <w:spacing w:before="200" w:line-rule="auto"/>
        <w:ind w:firstLine="540"/>
        <w:jc w:val="both"/>
      </w:pPr>
      <w:r>
        <w:rPr>
          <w:sz w:val="20"/>
        </w:rPr>
        <w:t xml:space="preserve">Срок проведения обязательного профилактического визита не может превышать 5 рабочих дней.</w:t>
      </w:r>
    </w:p>
    <w:p>
      <w:pPr>
        <w:pStyle w:val="0"/>
        <w:spacing w:before="200" w:line-rule="auto"/>
        <w:ind w:firstLine="540"/>
        <w:jc w:val="both"/>
      </w:pPr>
      <w:r>
        <w:rPr>
          <w:sz w:val="20"/>
        </w:rPr>
        <w:t xml:space="preserve">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pPr>
        <w:pStyle w:val="0"/>
        <w:spacing w:before="200" w:line-rule="auto"/>
        <w:ind w:firstLine="540"/>
        <w:jc w:val="both"/>
      </w:pPr>
      <w:r>
        <w:rPr>
          <w:sz w:val="20"/>
        </w:rPr>
        <w:t xml:space="preserve">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pPr>
        <w:pStyle w:val="0"/>
        <w:spacing w:before="200" w:line-rule="auto"/>
        <w:ind w:firstLine="540"/>
        <w:jc w:val="both"/>
      </w:pPr>
      <w:r>
        <w:rPr>
          <w:sz w:val="20"/>
        </w:rPr>
        <w:t xml:space="preserve">31. Контролируемое лицо в соответствии с </w:t>
      </w:r>
      <w:hyperlink w:history="0" r:id="rId2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6 статьи 52</w:t>
        </w:r>
      </w:hyperlink>
      <w:r>
        <w:rPr>
          <w:sz w:val="20"/>
        </w:rP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pPr>
        <w:pStyle w:val="0"/>
        <w:spacing w:before="200" w:line-rule="auto"/>
        <w:ind w:firstLine="540"/>
        <w:jc w:val="both"/>
      </w:pPr>
      <w:r>
        <w:rPr>
          <w:sz w:val="20"/>
        </w:rPr>
        <w:t xml:space="preserve">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pPr>
        <w:pStyle w:val="0"/>
        <w:spacing w:before="200" w:line-rule="auto"/>
        <w:ind w:firstLine="540"/>
        <w:jc w:val="both"/>
      </w:pPr>
      <w:r>
        <w:rPr>
          <w:sz w:val="20"/>
        </w:rPr>
        <w:t xml:space="preserve">33. Срок проведения профилактического визита не может превышать 5 рабочих дней.</w:t>
      </w:r>
    </w:p>
    <w:p>
      <w:pPr>
        <w:pStyle w:val="0"/>
        <w:spacing w:before="200" w:line-rule="auto"/>
        <w:ind w:firstLine="540"/>
        <w:jc w:val="both"/>
      </w:pPr>
      <w:r>
        <w:rPr>
          <w:sz w:val="20"/>
        </w:rPr>
        <w:t xml:space="preserve">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pPr>
        <w:pStyle w:val="0"/>
        <w:spacing w:before="200" w:line-rule="auto"/>
        <w:ind w:firstLine="540"/>
        <w:jc w:val="both"/>
      </w:pPr>
      <w:r>
        <w:rPr>
          <w:sz w:val="20"/>
        </w:rPr>
        <w:t xml:space="preserve">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36. Контролирующий орган (территориальный орган) осуществляет учет профилактических визитов.</w:t>
      </w:r>
    </w:p>
    <w:p>
      <w:pPr>
        <w:pStyle w:val="0"/>
        <w:ind w:firstLine="540"/>
        <w:jc w:val="both"/>
      </w:pPr>
      <w:r>
        <w:rPr>
          <w:sz w:val="20"/>
        </w:rPr>
      </w:r>
    </w:p>
    <w:p>
      <w:pPr>
        <w:pStyle w:val="2"/>
        <w:outlineLvl w:val="1"/>
        <w:jc w:val="center"/>
      </w:pPr>
      <w:r>
        <w:rPr>
          <w:sz w:val="20"/>
        </w:rPr>
        <w:t xml:space="preserve">IV. Осуществление федерального государственного</w:t>
      </w:r>
    </w:p>
    <w:p>
      <w:pPr>
        <w:pStyle w:val="2"/>
        <w:jc w:val="center"/>
      </w:pPr>
      <w:r>
        <w:rPr>
          <w:sz w:val="20"/>
        </w:rPr>
        <w:t xml:space="preserve">контроля (надзора)</w:t>
      </w:r>
    </w:p>
    <w:p>
      <w:pPr>
        <w:pStyle w:val="0"/>
        <w:ind w:firstLine="540"/>
        <w:jc w:val="both"/>
      </w:pPr>
      <w:r>
        <w:rPr>
          <w:sz w:val="20"/>
        </w:rPr>
      </w:r>
    </w:p>
    <w:p>
      <w:pPr>
        <w:pStyle w:val="0"/>
        <w:ind w:firstLine="540"/>
        <w:jc w:val="both"/>
      </w:pPr>
      <w:r>
        <w:rPr>
          <w:sz w:val="20"/>
        </w:rPr>
        <w:t xml:space="preserve">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pPr>
        <w:pStyle w:val="0"/>
        <w:spacing w:before="200" w:line-rule="auto"/>
        <w:ind w:firstLine="540"/>
        <w:jc w:val="both"/>
      </w:pPr>
      <w:r>
        <w:rPr>
          <w:sz w:val="20"/>
        </w:rPr>
        <w:t xml:space="preserve">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pPr>
        <w:pStyle w:val="0"/>
        <w:spacing w:before="200" w:line-rule="auto"/>
        <w:ind w:firstLine="540"/>
        <w:jc w:val="both"/>
      </w:pPr>
      <w:r>
        <w:rPr>
          <w:sz w:val="20"/>
        </w:rPr>
        <w:t xml:space="preserve">39. Организация проведения внеплановых контрольных (надзорных) мероприятий, осуществляется в соответствии с положениями </w:t>
      </w:r>
      <w:hyperlink w:history="0" r:id="rId2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статьи 66</w:t>
        </w:r>
      </w:hyperlink>
      <w:r>
        <w:rPr>
          <w:sz w:val="20"/>
        </w:rP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r:id="rId2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2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6 части 1</w:t>
        </w:r>
      </w:hyperlink>
      <w:r>
        <w:rPr>
          <w:sz w:val="20"/>
        </w:rPr>
        <w:t xml:space="preserve"> и </w:t>
      </w:r>
      <w:hyperlink w:history="0" r:id="rId2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pPr>
        <w:pStyle w:val="0"/>
        <w:spacing w:before="200" w:line-rule="auto"/>
        <w:ind w:firstLine="540"/>
        <w:jc w:val="both"/>
      </w:pPr>
      <w:r>
        <w:rPr>
          <w:sz w:val="20"/>
        </w:rPr>
        <w:t xml:space="preserve">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pPr>
        <w:pStyle w:val="0"/>
        <w:ind w:firstLine="540"/>
        <w:jc w:val="both"/>
      </w:pPr>
      <w:r>
        <w:rPr>
          <w:sz w:val="20"/>
        </w:rPr>
      </w:r>
    </w:p>
    <w:p>
      <w:pPr>
        <w:pStyle w:val="2"/>
        <w:outlineLvl w:val="2"/>
        <w:jc w:val="center"/>
      </w:pPr>
      <w:r>
        <w:rPr>
          <w:sz w:val="20"/>
        </w:rPr>
        <w:t xml:space="preserve">Порядок фотосъемки, аудио- и видеозаписи и иных способов</w:t>
      </w:r>
    </w:p>
    <w:p>
      <w:pPr>
        <w:pStyle w:val="2"/>
        <w:jc w:val="center"/>
      </w:pPr>
      <w:r>
        <w:rPr>
          <w:sz w:val="20"/>
        </w:rPr>
        <w:t xml:space="preserve">фиксации доказательств</w:t>
      </w:r>
    </w:p>
    <w:p>
      <w:pPr>
        <w:pStyle w:val="0"/>
        <w:jc w:val="center"/>
      </w:pPr>
      <w:r>
        <w:rPr>
          <w:sz w:val="20"/>
        </w:rPr>
      </w:r>
    </w:p>
    <w:p>
      <w:pPr>
        <w:pStyle w:val="0"/>
        <w:ind w:firstLine="540"/>
        <w:jc w:val="both"/>
      </w:pPr>
      <w:r>
        <w:rPr>
          <w:sz w:val="20"/>
        </w:rPr>
        <w:t xml:space="preserve">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pPr>
        <w:pStyle w:val="0"/>
        <w:spacing w:before="200" w:line-rule="auto"/>
        <w:ind w:firstLine="540"/>
        <w:jc w:val="both"/>
      </w:pPr>
      <w:r>
        <w:rPr>
          <w:sz w:val="20"/>
        </w:rPr>
        <w:t xml:space="preserve">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pPr>
        <w:pStyle w:val="0"/>
        <w:spacing w:before="200" w:line-rule="auto"/>
        <w:ind w:firstLine="540"/>
        <w:jc w:val="both"/>
      </w:pPr>
      <w:r>
        <w:rPr>
          <w:sz w:val="20"/>
        </w:rPr>
        <w:t xml:space="preserve">осмотр - фотосъемка, видеозапись;</w:t>
      </w:r>
    </w:p>
    <w:p>
      <w:pPr>
        <w:pStyle w:val="0"/>
        <w:spacing w:before="200" w:line-rule="auto"/>
        <w:ind w:firstLine="540"/>
        <w:jc w:val="both"/>
      </w:pPr>
      <w:r>
        <w:rPr>
          <w:sz w:val="20"/>
        </w:rPr>
        <w:t xml:space="preserve">опрос - аудиозапись;</w:t>
      </w:r>
    </w:p>
    <w:p>
      <w:pPr>
        <w:pStyle w:val="0"/>
        <w:spacing w:before="200" w:line-rule="auto"/>
        <w:ind w:firstLine="540"/>
        <w:jc w:val="both"/>
      </w:pPr>
      <w:r>
        <w:rPr>
          <w:sz w:val="20"/>
        </w:rPr>
        <w:t xml:space="preserve">получение письменных объяснений - фотосъемка, видеозапись;</w:t>
      </w:r>
    </w:p>
    <w:p>
      <w:pPr>
        <w:pStyle w:val="0"/>
        <w:spacing w:before="200" w:line-rule="auto"/>
        <w:ind w:firstLine="540"/>
        <w:jc w:val="both"/>
      </w:pPr>
      <w:r>
        <w:rPr>
          <w:sz w:val="20"/>
        </w:rPr>
        <w:t xml:space="preserve">истребование документов - фотосъемка, аудио- и видеозапись;</w:t>
      </w:r>
    </w:p>
    <w:p>
      <w:pPr>
        <w:pStyle w:val="0"/>
        <w:spacing w:before="200" w:line-rule="auto"/>
        <w:ind w:firstLine="540"/>
        <w:jc w:val="both"/>
      </w:pPr>
      <w:r>
        <w:rPr>
          <w:sz w:val="20"/>
        </w:rPr>
        <w:t xml:space="preserve">инструментальное обследование - фотосъемка, видеозапись;</w:t>
      </w:r>
    </w:p>
    <w:p>
      <w:pPr>
        <w:pStyle w:val="0"/>
        <w:spacing w:before="200" w:line-rule="auto"/>
        <w:ind w:firstLine="540"/>
        <w:jc w:val="both"/>
      </w:pPr>
      <w:r>
        <w:rPr>
          <w:sz w:val="20"/>
        </w:rPr>
        <w:t xml:space="preserve">экспертиза - фотосъемка, видеозапись.</w:t>
      </w:r>
    </w:p>
    <w:p>
      <w:pPr>
        <w:pStyle w:val="0"/>
        <w:spacing w:before="200" w:line-rule="auto"/>
        <w:ind w:firstLine="540"/>
        <w:jc w:val="both"/>
      </w:pPr>
      <w:r>
        <w:rPr>
          <w:sz w:val="20"/>
        </w:rPr>
        <w:t xml:space="preserve">При отсутствии возможности осуществления видеозаписи применяется аудиозапись проводимого контрольного (надзорного) действия.</w:t>
      </w:r>
    </w:p>
    <w:p>
      <w:pPr>
        <w:pStyle w:val="0"/>
        <w:spacing w:before="200" w:line-rule="auto"/>
        <w:ind w:firstLine="540"/>
        <w:jc w:val="both"/>
      </w:pPr>
      <w:r>
        <w:rPr>
          <w:sz w:val="20"/>
        </w:rPr>
        <w:t xml:space="preserve">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pPr>
        <w:pStyle w:val="0"/>
        <w:spacing w:before="200" w:line-rule="auto"/>
        <w:ind w:firstLine="540"/>
        <w:jc w:val="both"/>
      </w:pPr>
      <w:r>
        <w:rPr>
          <w:sz w:val="20"/>
        </w:rPr>
        <w:t xml:space="preserve">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pPr>
        <w:pStyle w:val="0"/>
        <w:spacing w:before="200" w:line-rule="auto"/>
        <w:ind w:firstLine="540"/>
        <w:jc w:val="both"/>
      </w:pPr>
      <w:r>
        <w:rPr>
          <w:sz w:val="20"/>
        </w:rPr>
        <w:t xml:space="preserve">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pPr>
        <w:pStyle w:val="0"/>
        <w:ind w:firstLine="540"/>
        <w:jc w:val="both"/>
      </w:pPr>
      <w:r>
        <w:rPr>
          <w:sz w:val="20"/>
        </w:rPr>
      </w:r>
    </w:p>
    <w:p>
      <w:pPr>
        <w:pStyle w:val="2"/>
        <w:outlineLvl w:val="2"/>
        <w:jc w:val="center"/>
      </w:pPr>
      <w:r>
        <w:rPr>
          <w:sz w:val="20"/>
        </w:rPr>
        <w:t xml:space="preserve">Контрольные (надзорные) мероприятия</w:t>
      </w:r>
    </w:p>
    <w:p>
      <w:pPr>
        <w:pStyle w:val="0"/>
        <w:jc w:val="center"/>
      </w:pPr>
      <w:r>
        <w:rPr>
          <w:sz w:val="20"/>
        </w:rPr>
      </w:r>
    </w:p>
    <w:bookmarkStart w:id="191" w:name="P191"/>
    <w:bookmarkEnd w:id="191"/>
    <w:p>
      <w:pPr>
        <w:pStyle w:val="0"/>
        <w:ind w:firstLine="540"/>
        <w:jc w:val="both"/>
      </w:pPr>
      <w:r>
        <w:rPr>
          <w:sz w:val="20"/>
        </w:rPr>
        <w:t xml:space="preserve">42. Федеральный государственный контроль (надзор) осуществляется посредством проведения следующих контрольных (надзорных) мероприятий:</w:t>
      </w:r>
    </w:p>
    <w:p>
      <w:pPr>
        <w:pStyle w:val="0"/>
        <w:spacing w:before="200" w:line-rule="auto"/>
        <w:ind w:firstLine="540"/>
        <w:jc w:val="both"/>
      </w:pPr>
      <w:r>
        <w:rPr>
          <w:sz w:val="20"/>
        </w:rPr>
        <w:t xml:space="preserve">а) инспекционный визит;</w:t>
      </w:r>
    </w:p>
    <w:p>
      <w:pPr>
        <w:pStyle w:val="0"/>
        <w:spacing w:before="200" w:line-rule="auto"/>
        <w:ind w:firstLine="540"/>
        <w:jc w:val="both"/>
      </w:pPr>
      <w:r>
        <w:rPr>
          <w:sz w:val="20"/>
        </w:rPr>
        <w:t xml:space="preserve">б) документарная проверка;</w:t>
      </w:r>
    </w:p>
    <w:p>
      <w:pPr>
        <w:pStyle w:val="0"/>
        <w:spacing w:before="200" w:line-rule="auto"/>
        <w:ind w:firstLine="540"/>
        <w:jc w:val="both"/>
      </w:pPr>
      <w:r>
        <w:rPr>
          <w:sz w:val="20"/>
        </w:rPr>
        <w:t xml:space="preserve">в) выездная проверка.</w:t>
      </w:r>
    </w:p>
    <w:p>
      <w:pPr>
        <w:pStyle w:val="0"/>
        <w:ind w:firstLine="540"/>
        <w:jc w:val="both"/>
      </w:pPr>
      <w:r>
        <w:rPr>
          <w:sz w:val="20"/>
        </w:rPr>
      </w:r>
    </w:p>
    <w:p>
      <w:pPr>
        <w:pStyle w:val="2"/>
        <w:outlineLvl w:val="2"/>
        <w:jc w:val="center"/>
      </w:pPr>
      <w:r>
        <w:rPr>
          <w:sz w:val="20"/>
        </w:rPr>
        <w:t xml:space="preserve">Инспекционный визит</w:t>
      </w:r>
    </w:p>
    <w:p>
      <w:pPr>
        <w:pStyle w:val="0"/>
        <w:jc w:val="center"/>
      </w:pPr>
      <w:r>
        <w:rPr>
          <w:sz w:val="20"/>
        </w:rPr>
      </w:r>
    </w:p>
    <w:p>
      <w:pPr>
        <w:pStyle w:val="0"/>
        <w:ind w:firstLine="540"/>
        <w:jc w:val="both"/>
      </w:pPr>
      <w:r>
        <w:rPr>
          <w:sz w:val="20"/>
        </w:rPr>
        <w:t xml:space="preserve">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pPr>
        <w:pStyle w:val="0"/>
        <w:spacing w:before="200" w:line-rule="auto"/>
        <w:ind w:firstLine="540"/>
        <w:jc w:val="both"/>
      </w:pPr>
      <w:r>
        <w:rPr>
          <w:sz w:val="20"/>
        </w:rPr>
        <w:t xml:space="preserve">44.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а) осмотр;</w:t>
      </w:r>
    </w:p>
    <w:p>
      <w:pPr>
        <w:pStyle w:val="0"/>
        <w:spacing w:before="200" w:line-rule="auto"/>
        <w:ind w:firstLine="540"/>
        <w:jc w:val="both"/>
      </w:pPr>
      <w:r>
        <w:rPr>
          <w:sz w:val="20"/>
        </w:rPr>
        <w:t xml:space="preserve">б) опрос;</w:t>
      </w:r>
    </w:p>
    <w:p>
      <w:pPr>
        <w:pStyle w:val="0"/>
        <w:spacing w:before="200" w:line-rule="auto"/>
        <w:ind w:firstLine="540"/>
        <w:jc w:val="both"/>
      </w:pPr>
      <w:r>
        <w:rPr>
          <w:sz w:val="20"/>
        </w:rPr>
        <w:t xml:space="preserve">в) получение письменных объяснений;</w:t>
      </w:r>
    </w:p>
    <w:p>
      <w:pPr>
        <w:pStyle w:val="0"/>
        <w:spacing w:before="200" w:line-rule="auto"/>
        <w:ind w:firstLine="540"/>
        <w:jc w:val="both"/>
      </w:pPr>
      <w:r>
        <w:rPr>
          <w:sz w:val="20"/>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45. Указанные в </w:t>
      </w:r>
      <w:hyperlink w:history="0" w:anchor="P191" w:tooltip="42. Федеральный государственный контроль (надзор) осуществляется посредством проведения следующих контрольных (надзорных) мероприятий:">
        <w:r>
          <w:rPr>
            <w:sz w:val="20"/>
            <w:color w:val="0000ff"/>
          </w:rPr>
          <w:t xml:space="preserve">пункте 42</w:t>
        </w:r>
      </w:hyperlink>
      <w:r>
        <w:rPr>
          <w:sz w:val="20"/>
        </w:rPr>
        <w:t xml:space="preserve"> настоящего Положения контрольные (надзорные) мероприятия проводятся должностными лицами в порядке, предусмотренном Федеральным </w:t>
      </w:r>
      <w:hyperlink w:history="0" r:id="rId2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2"/>
        <w:jc w:val="center"/>
      </w:pPr>
      <w:r>
        <w:rPr>
          <w:sz w:val="20"/>
        </w:rPr>
        <w:t xml:space="preserve">Документарная проверка</w:t>
      </w:r>
    </w:p>
    <w:p>
      <w:pPr>
        <w:pStyle w:val="0"/>
        <w:jc w:val="center"/>
      </w:pPr>
      <w:r>
        <w:rPr>
          <w:sz w:val="20"/>
        </w:rPr>
      </w:r>
    </w:p>
    <w:p>
      <w:pPr>
        <w:pStyle w:val="0"/>
        <w:ind w:firstLine="540"/>
        <w:jc w:val="both"/>
      </w:pPr>
      <w:r>
        <w:rPr>
          <w:sz w:val="20"/>
        </w:rPr>
        <w:t xml:space="preserve">46.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Срок проведения документарной проверки не может превышать 10 рабочих дней.</w:t>
      </w:r>
    </w:p>
    <w:p>
      <w:pPr>
        <w:pStyle w:val="0"/>
        <w:spacing w:before="200" w:line-rule="auto"/>
        <w:ind w:firstLine="540"/>
        <w:jc w:val="both"/>
      </w:pPr>
      <w:r>
        <w:rPr>
          <w:sz w:val="20"/>
        </w:rPr>
        <w:t xml:space="preserve">47. Документарная проверка проводится в порядке, предусмотренном </w:t>
      </w:r>
      <w:hyperlink w:history="0" r:id="rId2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72</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pPr>
        <w:pStyle w:val="0"/>
        <w:spacing w:before="200" w:line-rule="auto"/>
        <w:ind w:firstLine="540"/>
        <w:jc w:val="both"/>
      </w:pPr>
      <w:r>
        <w:rPr>
          <w:sz w:val="20"/>
        </w:rPr>
        <w:t xml:space="preserve">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pPr>
        <w:pStyle w:val="0"/>
        <w:spacing w:before="200" w:line-rule="auto"/>
        <w:ind w:firstLine="540"/>
        <w:jc w:val="both"/>
      </w:pPr>
      <w:r>
        <w:rPr>
          <w:sz w:val="20"/>
        </w:rPr>
        <w:t xml:space="preserve">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pPr>
        <w:pStyle w:val="0"/>
        <w:ind w:firstLine="540"/>
        <w:jc w:val="both"/>
      </w:pPr>
      <w:r>
        <w:rPr>
          <w:sz w:val="20"/>
        </w:rPr>
      </w:r>
    </w:p>
    <w:p>
      <w:pPr>
        <w:pStyle w:val="2"/>
        <w:outlineLvl w:val="2"/>
        <w:jc w:val="center"/>
      </w:pPr>
      <w:r>
        <w:rPr>
          <w:sz w:val="20"/>
        </w:rPr>
        <w:t xml:space="preserve">Выездная проверка</w:t>
      </w:r>
    </w:p>
    <w:p>
      <w:pPr>
        <w:pStyle w:val="0"/>
        <w:jc w:val="center"/>
      </w:pPr>
      <w:r>
        <w:rPr>
          <w:sz w:val="20"/>
        </w:rPr>
      </w:r>
    </w:p>
    <w:p>
      <w:pPr>
        <w:pStyle w:val="0"/>
        <w:ind w:firstLine="540"/>
        <w:jc w:val="both"/>
      </w:pPr>
      <w:r>
        <w:rPr>
          <w:sz w:val="20"/>
        </w:rPr>
        <w:t xml:space="preserve">51.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Срок проведения выездной проверки не может превышать 10 рабочих дней.</w:t>
      </w:r>
    </w:p>
    <w:p>
      <w:pPr>
        <w:pStyle w:val="0"/>
        <w:spacing w:before="200" w:line-rule="auto"/>
        <w:ind w:firstLine="540"/>
        <w:jc w:val="both"/>
      </w:pPr>
      <w:r>
        <w:rPr>
          <w:sz w:val="20"/>
        </w:rPr>
        <w:t xml:space="preserve">52. Выездная проверка проводится в порядке, предусмотренном </w:t>
      </w:r>
      <w:hyperlink w:history="0" r:id="rId2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73</w:t>
        </w:r>
      </w:hyperlink>
      <w:r>
        <w:rPr>
          <w:sz w:val="20"/>
        </w:rP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w:history="0" r:id="rId2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pPr>
        <w:pStyle w:val="0"/>
        <w:ind w:firstLine="540"/>
        <w:jc w:val="both"/>
      </w:pPr>
      <w:r>
        <w:rPr>
          <w:sz w:val="20"/>
        </w:rPr>
      </w:r>
    </w:p>
    <w:p>
      <w:pPr>
        <w:pStyle w:val="2"/>
        <w:outlineLvl w:val="1"/>
        <w:jc w:val="center"/>
      </w:pPr>
      <w:r>
        <w:rPr>
          <w:sz w:val="20"/>
        </w:rPr>
        <w:t xml:space="preserve">V. Результаты контрольного (надзорного) мероприятия</w:t>
      </w:r>
    </w:p>
    <w:p>
      <w:pPr>
        <w:pStyle w:val="0"/>
        <w:ind w:firstLine="540"/>
        <w:jc w:val="both"/>
      </w:pPr>
      <w:r>
        <w:rPr>
          <w:sz w:val="20"/>
        </w:rPr>
      </w:r>
    </w:p>
    <w:p>
      <w:pPr>
        <w:pStyle w:val="0"/>
        <w:ind w:firstLine="540"/>
        <w:jc w:val="both"/>
      </w:pPr>
      <w:r>
        <w:rPr>
          <w:sz w:val="20"/>
        </w:rPr>
        <w:t xml:space="preserve">53. По окончании проведения контрольного (надзорного) мероприятия составляется акт контрольного (надзорного) мероприятия (далее - акт).</w:t>
      </w:r>
    </w:p>
    <w:p>
      <w:pPr>
        <w:pStyle w:val="0"/>
        <w:spacing w:before="200" w:line-rule="auto"/>
        <w:ind w:firstLine="540"/>
        <w:jc w:val="both"/>
      </w:pPr>
      <w:r>
        <w:rPr>
          <w:sz w:val="20"/>
        </w:rPr>
        <w:t xml:space="preserve">54. Оформление акта производится на месте проведения контрольного (надзорного) мероприятия в день окончания проведения такого мероприятия.</w:t>
      </w:r>
    </w:p>
    <w:p>
      <w:pPr>
        <w:pStyle w:val="0"/>
        <w:spacing w:before="200" w:line-rule="auto"/>
        <w:ind w:firstLine="540"/>
        <w:jc w:val="both"/>
      </w:pPr>
      <w:r>
        <w:rPr>
          <w:sz w:val="20"/>
        </w:rPr>
        <w:t xml:space="preserve">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pPr>
        <w:pStyle w:val="0"/>
        <w:spacing w:before="200" w:line-rule="auto"/>
        <w:ind w:firstLine="540"/>
        <w:jc w:val="both"/>
      </w:pPr>
      <w:r>
        <w:rPr>
          <w:sz w:val="20"/>
        </w:rPr>
        <w:t xml:space="preserve">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pPr>
        <w:pStyle w:val="0"/>
        <w:ind w:firstLine="540"/>
        <w:jc w:val="both"/>
      </w:pPr>
      <w:r>
        <w:rPr>
          <w:sz w:val="20"/>
        </w:rPr>
      </w:r>
    </w:p>
    <w:p>
      <w:pPr>
        <w:pStyle w:val="2"/>
        <w:outlineLvl w:val="1"/>
        <w:jc w:val="center"/>
      </w:pPr>
      <w:r>
        <w:rPr>
          <w:sz w:val="20"/>
        </w:rPr>
        <w:t xml:space="preserve">VI. Обжалование решений контролирующего органа, действий</w:t>
      </w:r>
    </w:p>
    <w:p>
      <w:pPr>
        <w:pStyle w:val="2"/>
        <w:jc w:val="center"/>
      </w:pPr>
      <w:r>
        <w:rPr>
          <w:sz w:val="20"/>
        </w:rPr>
        <w:t xml:space="preserve">(бездействия) его должностных лиц</w:t>
      </w:r>
    </w:p>
    <w:p>
      <w:pPr>
        <w:pStyle w:val="0"/>
        <w:ind w:firstLine="540"/>
        <w:jc w:val="both"/>
      </w:pPr>
      <w:r>
        <w:rPr>
          <w:sz w:val="20"/>
        </w:rPr>
      </w:r>
    </w:p>
    <w:p>
      <w:pPr>
        <w:pStyle w:val="0"/>
        <w:ind w:firstLine="540"/>
        <w:jc w:val="both"/>
      </w:pPr>
      <w:r>
        <w:rPr>
          <w:sz w:val="20"/>
        </w:rP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w:history="0" r:id="rId3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части 4 статьи 40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pPr>
        <w:pStyle w:val="0"/>
        <w:spacing w:before="200" w:line-rule="auto"/>
        <w:ind w:firstLine="540"/>
        <w:jc w:val="both"/>
      </w:pPr>
      <w:r>
        <w:rPr>
          <w:sz w:val="20"/>
        </w:rPr>
        <w:t xml:space="preserve">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pPr>
        <w:pStyle w:val="0"/>
        <w:spacing w:before="200" w:line-rule="auto"/>
        <w:ind w:firstLine="540"/>
        <w:jc w:val="both"/>
      </w:pPr>
      <w:r>
        <w:rPr>
          <w:sz w:val="20"/>
        </w:rPr>
        <w:t xml:space="preserve">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pPr>
        <w:pStyle w:val="0"/>
        <w:spacing w:before="200" w:line-rule="auto"/>
        <w:ind w:firstLine="540"/>
        <w:jc w:val="both"/>
      </w:pPr>
      <w:r>
        <w:rPr>
          <w:sz w:val="20"/>
        </w:rPr>
        <w:t xml:space="preserve">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pPr>
        <w:pStyle w:val="0"/>
        <w:spacing w:before="200" w:line-rule="auto"/>
        <w:ind w:firstLine="540"/>
        <w:jc w:val="both"/>
      </w:pPr>
      <w:r>
        <w:rPr>
          <w:sz w:val="20"/>
        </w:rPr>
        <w:t xml:space="preserve">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pPr>
        <w:pStyle w:val="0"/>
        <w:spacing w:before="200" w:line-rule="auto"/>
        <w:ind w:firstLine="540"/>
        <w:jc w:val="both"/>
      </w:pPr>
      <w:r>
        <w:rPr>
          <w:sz w:val="20"/>
        </w:rPr>
        <w:t xml:space="preserve">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pPr>
        <w:pStyle w:val="0"/>
        <w:spacing w:before="200" w:line-rule="auto"/>
        <w:ind w:firstLine="540"/>
        <w:jc w:val="both"/>
      </w:pPr>
      <w:r>
        <w:rPr>
          <w:sz w:val="20"/>
        </w:rPr>
        <w:t xml:space="preserve">Лицо, подавшее жалобу, до принятия решения по жалобе может ее отозвать.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Жалоба может содержать ходатайство о приостановлении исполнения обжалуемого решения контролирующего органа (территориального органа).</w:t>
      </w:r>
    </w:p>
    <w:p>
      <w:pPr>
        <w:pStyle w:val="0"/>
        <w:spacing w:before="200" w:line-rule="auto"/>
        <w:ind w:firstLine="540"/>
        <w:jc w:val="both"/>
      </w:pPr>
      <w:r>
        <w:rPr>
          <w:sz w:val="20"/>
        </w:rPr>
        <w:t xml:space="preserve">Контролирующий орган (территориальный орган) не позднее 2 рабочих дней со дня регистрации жалобы принимает решение:</w:t>
      </w:r>
    </w:p>
    <w:p>
      <w:pPr>
        <w:pStyle w:val="0"/>
        <w:spacing w:before="200" w:line-rule="auto"/>
        <w:ind w:firstLine="540"/>
        <w:jc w:val="both"/>
      </w:pPr>
      <w:r>
        <w:rPr>
          <w:sz w:val="20"/>
        </w:rPr>
        <w:t xml:space="preserve">о приостановлении исполнения обжалуемого решения;</w:t>
      </w:r>
    </w:p>
    <w:p>
      <w:pPr>
        <w:pStyle w:val="0"/>
        <w:spacing w:before="200" w:line-rule="auto"/>
        <w:ind w:firstLine="540"/>
        <w:jc w:val="both"/>
      </w:pPr>
      <w:r>
        <w:rPr>
          <w:sz w:val="20"/>
        </w:rPr>
        <w:t xml:space="preserve">об отказе в приостановлении исполнения обжалуемого решения.</w:t>
      </w:r>
    </w:p>
    <w:p>
      <w:pPr>
        <w:pStyle w:val="0"/>
        <w:spacing w:before="200" w:line-rule="auto"/>
        <w:ind w:firstLine="540"/>
        <w:jc w:val="both"/>
      </w:pPr>
      <w:r>
        <w:rPr>
          <w:sz w:val="20"/>
        </w:rPr>
        <w:t xml:space="preserve">Информация об указанном решении направляется лицу, подавшему жалобу, в течение одного рабочего дня с момента принятия решения.</w:t>
      </w:r>
    </w:p>
    <w:p>
      <w:pPr>
        <w:pStyle w:val="0"/>
        <w:spacing w:before="200" w:line-rule="auto"/>
        <w:ind w:firstLine="540"/>
        <w:jc w:val="both"/>
      </w:pPr>
      <w:r>
        <w:rPr>
          <w:sz w:val="20"/>
        </w:rPr>
        <w:t xml:space="preserve">Жалоба должна содержать:</w:t>
      </w:r>
    </w:p>
    <w:p>
      <w:pPr>
        <w:pStyle w:val="0"/>
        <w:spacing w:before="200" w:line-rule="auto"/>
        <w:ind w:firstLine="540"/>
        <w:jc w:val="both"/>
      </w:pPr>
      <w:r>
        <w:rPr>
          <w:sz w:val="20"/>
        </w:rPr>
        <w:t xml:space="preserve">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требования лица, подавшего жалобу;</w:t>
      </w:r>
    </w:p>
    <w:p>
      <w:pPr>
        <w:pStyle w:val="0"/>
        <w:spacing w:before="200" w:line-rule="auto"/>
        <w:ind w:firstLine="540"/>
        <w:jc w:val="both"/>
      </w:pPr>
      <w:r>
        <w:rPr>
          <w:sz w:val="20"/>
        </w:rPr>
        <w:t xml:space="preserve">учетный номер контрольного (надзорного) мероприятия в едином реестре контрольных (надзорных) мероприятий, в отношении которого подается жалоба.</w:t>
      </w:r>
    </w:p>
    <w:p>
      <w:pPr>
        <w:pStyle w:val="0"/>
        <w:spacing w:before="200" w:line-rule="auto"/>
        <w:ind w:firstLine="540"/>
        <w:jc w:val="both"/>
      </w:pPr>
      <w:r>
        <w:rPr>
          <w:sz w:val="20"/>
        </w:rPr>
        <w:t xml:space="preserve">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pPr>
        <w:pStyle w:val="0"/>
        <w:spacing w:before="200" w:line-rule="auto"/>
        <w:ind w:firstLine="540"/>
        <w:jc w:val="both"/>
      </w:pPr>
      <w:r>
        <w:rPr>
          <w:sz w:val="20"/>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spacing w:before="200" w:line-rule="auto"/>
        <w:ind w:firstLine="540"/>
        <w:jc w:val="both"/>
      </w:pPr>
      <w:r>
        <w:rPr>
          <w:sz w:val="20"/>
        </w:rPr>
        <w:t xml:space="preserve">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pPr>
        <w:pStyle w:val="0"/>
        <w:spacing w:before="200" w:line-rule="auto"/>
        <w:ind w:firstLine="540"/>
        <w:jc w:val="both"/>
      </w:pPr>
      <w:r>
        <w:rPr>
          <w:sz w:val="20"/>
        </w:rPr>
        <w:t xml:space="preserve">жалоба подана после истечения сроков подачи жалобы, установленных </w:t>
      </w:r>
      <w:hyperlink w:history="0" r:id="rId3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частями 5</w:t>
        </w:r>
      </w:hyperlink>
      <w:r>
        <w:rPr>
          <w:sz w:val="20"/>
        </w:rPr>
        <w:t xml:space="preserve"> и </w:t>
      </w:r>
      <w:hyperlink w:history="0" r:id="rId3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6 статьи 40</w:t>
        </w:r>
      </w:hyperlink>
      <w:r>
        <w:rPr>
          <w:sz w:val="20"/>
        </w:rP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в удовлетворении ходатайства о восстановлении пропущенного срока на подачу жалобы отказано;</w:t>
      </w:r>
    </w:p>
    <w:p>
      <w:pPr>
        <w:pStyle w:val="0"/>
        <w:spacing w:before="200" w:line-rule="auto"/>
        <w:ind w:firstLine="540"/>
        <w:jc w:val="both"/>
      </w:pPr>
      <w:r>
        <w:rPr>
          <w:sz w:val="20"/>
        </w:rPr>
        <w:t xml:space="preserve">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имеется решение суда по вопросам, поставленным в жалобе;</w:t>
      </w:r>
    </w:p>
    <w:p>
      <w:pPr>
        <w:pStyle w:val="0"/>
        <w:spacing w:before="200" w:line-rule="auto"/>
        <w:ind w:firstLine="540"/>
        <w:jc w:val="both"/>
      </w:pPr>
      <w:r>
        <w:rPr>
          <w:sz w:val="20"/>
        </w:rPr>
        <w:t xml:space="preserve">ранее в уполномоченный на рассмотрение жалобы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0"/>
        <w:spacing w:before="200" w:line-rule="auto"/>
        <w:ind w:firstLine="540"/>
        <w:jc w:val="both"/>
      </w:pPr>
      <w:r>
        <w:rPr>
          <w:sz w:val="20"/>
        </w:rPr>
        <w:t xml:space="preserve">жалоба подана в ненадлежащий уполномоченный орган;</w:t>
      </w:r>
    </w:p>
    <w:p>
      <w:pPr>
        <w:pStyle w:val="0"/>
        <w:spacing w:before="200" w:line-rule="auto"/>
        <w:ind w:firstLine="540"/>
        <w:jc w:val="both"/>
      </w:pPr>
      <w:r>
        <w:rPr>
          <w:sz w:val="20"/>
        </w:rPr>
        <w:t xml:space="preserve">законодательством Российской Федерации предусмотрен только судебный порядок обжалования решений контрольного (надзорного) органа.</w:t>
      </w:r>
    </w:p>
    <w:p>
      <w:pPr>
        <w:pStyle w:val="0"/>
        <w:spacing w:before="200" w:line-rule="auto"/>
        <w:ind w:firstLine="540"/>
        <w:jc w:val="both"/>
      </w:pPr>
      <w:r>
        <w:rPr>
          <w:sz w:val="20"/>
        </w:rPr>
        <w:t xml:space="preserve">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pPr>
        <w:pStyle w:val="0"/>
        <w:spacing w:before="200" w:line-rule="auto"/>
        <w:ind w:firstLine="540"/>
        <w:jc w:val="both"/>
      </w:pPr>
      <w:r>
        <w:rPr>
          <w:sz w:val="20"/>
        </w:rPr>
        <w:t xml:space="preserve">Жалоба рассматривается контролирующим органом (территориальным органом) в течение 20 рабочих дней со дня ее регистрации.</w:t>
      </w:r>
    </w:p>
    <w:p>
      <w:pPr>
        <w:pStyle w:val="0"/>
        <w:spacing w:before="200" w:line-rule="auto"/>
        <w:ind w:firstLine="540"/>
        <w:jc w:val="both"/>
      </w:pPr>
      <w:r>
        <w:rPr>
          <w:sz w:val="20"/>
        </w:rPr>
        <w:t xml:space="preserve">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pPr>
        <w:pStyle w:val="0"/>
        <w:spacing w:before="200" w:line-rule="auto"/>
        <w:ind w:firstLine="540"/>
        <w:jc w:val="both"/>
      </w:pPr>
      <w:r>
        <w:rPr>
          <w:sz w:val="20"/>
        </w:rPr>
        <w:t xml:space="preserve">По итогам рассмотрения жалобы контролирующий орган (территориальный орган):</w:t>
      </w:r>
    </w:p>
    <w:p>
      <w:pPr>
        <w:pStyle w:val="0"/>
        <w:spacing w:before="200" w:line-rule="auto"/>
        <w:ind w:firstLine="540"/>
        <w:jc w:val="both"/>
      </w:pPr>
      <w:r>
        <w:rPr>
          <w:sz w:val="20"/>
        </w:rPr>
        <w:t xml:space="preserve">оставляет жалобу без удовлетворения;</w:t>
      </w:r>
    </w:p>
    <w:p>
      <w:pPr>
        <w:pStyle w:val="0"/>
        <w:spacing w:before="200" w:line-rule="auto"/>
        <w:ind w:firstLine="540"/>
        <w:jc w:val="both"/>
      </w:pPr>
      <w:r>
        <w:rPr>
          <w:sz w:val="20"/>
        </w:rPr>
        <w:t xml:space="preserve">отменяет решение полностью или частично;</w:t>
      </w:r>
    </w:p>
    <w:p>
      <w:pPr>
        <w:pStyle w:val="0"/>
        <w:spacing w:before="200" w:line-rule="auto"/>
        <w:ind w:firstLine="540"/>
        <w:jc w:val="both"/>
      </w:pPr>
      <w:r>
        <w:rPr>
          <w:sz w:val="20"/>
        </w:rPr>
        <w:t xml:space="preserve">отменяет решение полностью и принимает новое решение;</w:t>
      </w:r>
    </w:p>
    <w:p>
      <w:pPr>
        <w:pStyle w:val="0"/>
        <w:spacing w:before="200" w:line-rule="auto"/>
        <w:ind w:firstLine="540"/>
        <w:jc w:val="both"/>
      </w:pPr>
      <w:r>
        <w:rPr>
          <w:sz w:val="20"/>
        </w:rPr>
        <w:t xml:space="preserve">признает действия (бездействие) должностных лиц контролирующего органа (территориального органа) незаконными.</w:t>
      </w:r>
    </w:p>
    <w:p>
      <w:pPr>
        <w:pStyle w:val="0"/>
        <w:spacing w:before="200" w:line-rule="auto"/>
        <w:ind w:firstLine="540"/>
        <w:jc w:val="both"/>
      </w:pPr>
      <w:r>
        <w:rPr>
          <w:sz w:val="20"/>
        </w:rPr>
        <w:t xml:space="preserve">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pPr>
        <w:pStyle w:val="0"/>
        <w:ind w:firstLine="540"/>
        <w:jc w:val="both"/>
      </w:pPr>
      <w:r>
        <w:rPr>
          <w:sz w:val="20"/>
        </w:rPr>
      </w:r>
    </w:p>
    <w:p>
      <w:pPr>
        <w:pStyle w:val="2"/>
        <w:outlineLvl w:val="1"/>
        <w:jc w:val="center"/>
      </w:pPr>
      <w:r>
        <w:rPr>
          <w:sz w:val="20"/>
        </w:rPr>
        <w:t xml:space="preserve">VII. Организация и проведение мероприятий по контролю</w:t>
      </w:r>
    </w:p>
    <w:p>
      <w:pPr>
        <w:pStyle w:val="2"/>
        <w:jc w:val="center"/>
      </w:pPr>
      <w:r>
        <w:rPr>
          <w:sz w:val="20"/>
        </w:rPr>
        <w:t xml:space="preserve">без взаимодействия с контролируемым лицом</w:t>
      </w:r>
    </w:p>
    <w:p>
      <w:pPr>
        <w:pStyle w:val="0"/>
        <w:jc w:val="center"/>
      </w:pPr>
      <w:r>
        <w:rPr>
          <w:sz w:val="20"/>
        </w:rPr>
      </w:r>
    </w:p>
    <w:p>
      <w:pPr>
        <w:pStyle w:val="0"/>
        <w:ind w:firstLine="540"/>
        <w:jc w:val="both"/>
      </w:pPr>
      <w:r>
        <w:rPr>
          <w:sz w:val="20"/>
        </w:rPr>
        <w:t xml:space="preserve">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pPr>
        <w:pStyle w:val="0"/>
        <w:spacing w:before="200" w:line-rule="auto"/>
        <w:ind w:firstLine="540"/>
        <w:jc w:val="both"/>
      </w:pPr>
      <w:r>
        <w:rPr>
          <w:sz w:val="20"/>
        </w:rPr>
        <w:t xml:space="preserve">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pPr>
        <w:pStyle w:val="0"/>
        <w:spacing w:before="200" w:line-rule="auto"/>
        <w:ind w:firstLine="540"/>
        <w:jc w:val="both"/>
      </w:pPr>
      <w:r>
        <w:rPr>
          <w:sz w:val="20"/>
        </w:rPr>
        <w:t xml:space="preserve">59. К мероприятиям по контролю без взаимодействия с контролируемым лицом относятся:</w:t>
      </w:r>
    </w:p>
    <w:p>
      <w:pPr>
        <w:pStyle w:val="0"/>
        <w:spacing w:before="200" w:line-rule="auto"/>
        <w:ind w:firstLine="540"/>
        <w:jc w:val="both"/>
      </w:pPr>
      <w:r>
        <w:rPr>
          <w:sz w:val="20"/>
        </w:rPr>
        <w:t xml:space="preserve">а) наблюдение за соблюдением требований при размещении информации в сети "Интернет";</w:t>
      </w:r>
    </w:p>
    <w:p>
      <w:pPr>
        <w:pStyle w:val="0"/>
        <w:spacing w:before="200" w:line-rule="auto"/>
        <w:ind w:firstLine="540"/>
        <w:jc w:val="both"/>
      </w:pPr>
      <w:r>
        <w:rPr>
          <w:sz w:val="20"/>
        </w:rPr>
        <w:t xml:space="preserve">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pPr>
        <w:pStyle w:val="0"/>
        <w:spacing w:before="200" w:line-rule="auto"/>
        <w:ind w:firstLine="540"/>
        <w:jc w:val="both"/>
      </w:pPr>
      <w:r>
        <w:rPr>
          <w:sz w:val="20"/>
        </w:rPr>
        <w:t xml:space="preserve">60. Задание на проведение мероприятия по контролю без взаимодействия с контролируемым лицом выдается в случае:</w:t>
      </w:r>
    </w:p>
    <w:p>
      <w:pPr>
        <w:pStyle w:val="0"/>
        <w:spacing w:before="200" w:line-rule="auto"/>
        <w:ind w:firstLine="540"/>
        <w:jc w:val="both"/>
      </w:pPr>
      <w:r>
        <w:rPr>
          <w:sz w:val="20"/>
        </w:rPr>
        <w:t xml:space="preserve">а) наличия поручения Президента Российской Федерации, поручения Правительства Российской Федерации, а также руководителя контролирующего органа;</w:t>
      </w:r>
    </w:p>
    <w:p>
      <w:pPr>
        <w:pStyle w:val="0"/>
        <w:spacing w:before="200" w:line-rule="auto"/>
        <w:ind w:firstLine="540"/>
        <w:jc w:val="both"/>
      </w:pPr>
      <w:r>
        <w:rPr>
          <w:sz w:val="20"/>
        </w:rPr>
        <w:t xml:space="preserve">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pPr>
        <w:pStyle w:val="0"/>
        <w:spacing w:before="200" w:line-rule="auto"/>
        <w:ind w:firstLine="540"/>
        <w:jc w:val="both"/>
      </w:pPr>
      <w:r>
        <w:rPr>
          <w:sz w:val="20"/>
        </w:rPr>
        <w:t xml:space="preserve">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pPr>
        <w:pStyle w:val="0"/>
        <w:spacing w:before="200" w:line-rule="auto"/>
        <w:ind w:firstLine="540"/>
        <w:jc w:val="both"/>
      </w:pPr>
      <w:r>
        <w:rPr>
          <w:sz w:val="20"/>
        </w:rPr>
        <w:t xml:space="preserve">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pPr>
        <w:pStyle w:val="0"/>
        <w:spacing w:before="200" w:line-rule="auto"/>
        <w:ind w:firstLine="540"/>
        <w:jc w:val="both"/>
      </w:pPr>
      <w:r>
        <w:rPr>
          <w:sz w:val="20"/>
        </w:rP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w:history="0" r:id="rId3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jc w:val="center"/>
      </w:pPr>
      <w:r>
        <w:rPr>
          <w:sz w:val="20"/>
        </w:rPr>
        <w:t xml:space="preserve">VIII. Ключевой показатель федерального контроля</w:t>
      </w:r>
    </w:p>
    <w:p>
      <w:pPr>
        <w:pStyle w:val="2"/>
        <w:jc w:val="center"/>
      </w:pPr>
      <w:r>
        <w:rPr>
          <w:sz w:val="20"/>
        </w:rPr>
        <w:t xml:space="preserve">и его целевые значения</w:t>
      </w:r>
    </w:p>
    <w:p>
      <w:pPr>
        <w:pStyle w:val="0"/>
        <w:jc w:val="center"/>
      </w:pPr>
      <w:r>
        <w:rPr>
          <w:sz w:val="20"/>
        </w:rPr>
        <w:t xml:space="preserve">(введен </w:t>
      </w:r>
      <w:hyperlink w:history="0" r:id="rId34" w:tooltip="Постановление Правительства РФ от 16.12.2021 N 2311 &quot;О внесении изменений в Положение о федеральном государственном контроле (надзоре) за обработкой персональных данных&quot; {КонсультантПлюс}">
        <w:r>
          <w:rPr>
            <w:sz w:val="20"/>
            <w:color w:val="0000ff"/>
          </w:rPr>
          <w:t xml:space="preserve">Постановлением</w:t>
        </w:r>
      </w:hyperlink>
      <w:r>
        <w:rPr>
          <w:sz w:val="20"/>
        </w:rPr>
        <w:t xml:space="preserve"> Правительства РФ от 16.12.2021 N 2311)</w:t>
      </w:r>
    </w:p>
    <w:p>
      <w:pPr>
        <w:pStyle w:val="0"/>
        <w:ind w:firstLine="540"/>
        <w:jc w:val="both"/>
      </w:pPr>
      <w:r>
        <w:rPr>
          <w:sz w:val="20"/>
        </w:rPr>
      </w:r>
    </w:p>
    <w:p>
      <w:pPr>
        <w:pStyle w:val="0"/>
        <w:ind w:firstLine="540"/>
        <w:jc w:val="both"/>
      </w:pPr>
      <w:r>
        <w:rPr>
          <w:sz w:val="20"/>
        </w:rPr>
        <w:t xml:space="preserve">62. Ключевым показателем государственного контроля (надзора) и его целевыми значениями является доля контролируемых лиц, категория риска которых повышена в отчетном периоде по причинам, не связанным с изменением группы тяжести указанных контролируемых лиц, к общему числу контролируемых лиц в 2022 году - не более 5 процентов, в 2023 году - не более 5 процентов, в 2024 году - не более 4 процентов, в 2025 году - не более 4 процентов и в 2026 году - не более 3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федеральном</w:t>
      </w:r>
    </w:p>
    <w:p>
      <w:pPr>
        <w:pStyle w:val="0"/>
        <w:jc w:val="right"/>
      </w:pPr>
      <w:r>
        <w:rPr>
          <w:sz w:val="20"/>
        </w:rPr>
        <w:t xml:space="preserve">государственном контроле (надзоре)</w:t>
      </w:r>
    </w:p>
    <w:p>
      <w:pPr>
        <w:pStyle w:val="0"/>
        <w:jc w:val="right"/>
      </w:pPr>
      <w:r>
        <w:rPr>
          <w:sz w:val="20"/>
        </w:rPr>
        <w:t xml:space="preserve">за обработкой персональных данных</w:t>
      </w:r>
    </w:p>
    <w:p>
      <w:pPr>
        <w:pStyle w:val="0"/>
        <w:jc w:val="right"/>
      </w:pPr>
      <w:r>
        <w:rPr>
          <w:sz w:val="20"/>
        </w:rPr>
      </w:r>
    </w:p>
    <w:bookmarkStart w:id="313" w:name="P313"/>
    <w:bookmarkEnd w:id="313"/>
    <w:p>
      <w:pPr>
        <w:pStyle w:val="2"/>
        <w:jc w:val="center"/>
      </w:pPr>
      <w:r>
        <w:rPr>
          <w:sz w:val="20"/>
        </w:rPr>
        <w:t xml:space="preserve">КРИТЕРИИ</w:t>
      </w:r>
    </w:p>
    <w:p>
      <w:pPr>
        <w:pStyle w:val="2"/>
        <w:jc w:val="center"/>
      </w:pPr>
      <w:r>
        <w:rPr>
          <w:sz w:val="20"/>
        </w:rPr>
        <w:t xml:space="preserve">ОТНЕСЕНИЯ ОБЪЕКТОВ КОНТРОЛЯ К ОПРЕДЕЛЕННОЙ КАТЕГОРИИ РИСКА</w:t>
      </w:r>
    </w:p>
    <w:p>
      <w:pPr>
        <w:pStyle w:val="0"/>
        <w:jc w:val="center"/>
      </w:pPr>
      <w:r>
        <w:rPr>
          <w:sz w:val="20"/>
        </w:rPr>
      </w:r>
    </w:p>
    <w:p>
      <w:pPr>
        <w:pStyle w:val="0"/>
        <w:ind w:firstLine="540"/>
        <w:jc w:val="both"/>
      </w:pPr>
      <w:r>
        <w:rPr>
          <w:sz w:val="20"/>
        </w:rPr>
        <w:t xml:space="preserve">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pPr>
        <w:pStyle w:val="0"/>
        <w:spacing w:before="200" w:line-rule="auto"/>
        <w:ind w:firstLine="540"/>
        <w:jc w:val="both"/>
      </w:pPr>
      <w:r>
        <w:rPr>
          <w:sz w:val="20"/>
        </w:rPr>
        <w:t xml:space="preserve">2. К группе тяжести "А" относятся следующие виды деятельности:</w:t>
      </w:r>
    </w:p>
    <w:p>
      <w:pPr>
        <w:pStyle w:val="0"/>
        <w:spacing w:before="200" w:line-rule="auto"/>
        <w:ind w:firstLine="540"/>
        <w:jc w:val="both"/>
      </w:pPr>
      <w:r>
        <w:rPr>
          <w:sz w:val="20"/>
        </w:rPr>
        <w:t xml:space="preserve">а) обработка специальной категории персональных данных и (или) биометрических персональных данных;</w:t>
      </w:r>
    </w:p>
    <w:p>
      <w:pPr>
        <w:pStyle w:val="0"/>
        <w:spacing w:before="200" w:line-rule="auto"/>
        <w:ind w:firstLine="540"/>
        <w:jc w:val="both"/>
      </w:pPr>
      <w:r>
        <w:rPr>
          <w:sz w:val="20"/>
        </w:rPr>
        <w:t xml:space="preserve">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pPr>
        <w:pStyle w:val="0"/>
        <w:spacing w:before="200" w:line-rule="auto"/>
        <w:ind w:firstLine="540"/>
        <w:jc w:val="both"/>
      </w:pPr>
      <w:r>
        <w:rPr>
          <w:sz w:val="20"/>
        </w:rPr>
        <w:t xml:space="preserve">в) трансграничная передача персональных данных на территорию иностранных государств, не являющихся сторонами </w:t>
      </w:r>
      <w:hyperlink w:history="0" r:id="rId3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w:history="0" r:id="rId3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w:history="0" r:id="rId37" w:tooltip="Федеральный закон от 27.07.2006 N 152-ФЗ (ред. от 06.02.2023) &quot;О персональных данных&quot; {КонсультантПлюс}">
        <w:r>
          <w:rPr>
            <w:sz w:val="20"/>
            <w:color w:val="0000ff"/>
          </w:rPr>
          <w:t xml:space="preserve">частью 2 статьи 12</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pPr>
        <w:pStyle w:val="0"/>
        <w:spacing w:before="200" w:line-rule="auto"/>
        <w:ind w:firstLine="540"/>
        <w:jc w:val="both"/>
      </w:pPr>
      <w:r>
        <w:rPr>
          <w:sz w:val="20"/>
        </w:rPr>
        <w:t xml:space="preserve">3. К группе тяжести "Б" относятся следующие виды деятельности:</w:t>
      </w:r>
    </w:p>
    <w:p>
      <w:pPr>
        <w:pStyle w:val="0"/>
        <w:spacing w:before="200" w:line-rule="auto"/>
        <w:ind w:firstLine="540"/>
        <w:jc w:val="both"/>
      </w:pPr>
      <w:r>
        <w:rPr>
          <w:sz w:val="20"/>
        </w:rPr>
        <w:t xml:space="preserve">а) обработка персональных данных в целях, отличных от заявленных целей обработки персональных данных на этапе их сбора;</w:t>
      </w:r>
    </w:p>
    <w:p>
      <w:pPr>
        <w:pStyle w:val="0"/>
        <w:spacing w:before="200" w:line-rule="auto"/>
        <w:ind w:firstLine="540"/>
        <w:jc w:val="both"/>
      </w:pPr>
      <w:r>
        <w:rPr>
          <w:sz w:val="20"/>
        </w:rPr>
        <w:t xml:space="preserve">б) обработка персональных данных несовершеннолетних лиц в случаях, не предусмотренных федеральными законами;</w:t>
      </w:r>
    </w:p>
    <w:p>
      <w:pPr>
        <w:pStyle w:val="0"/>
        <w:spacing w:before="200" w:line-rule="auto"/>
        <w:ind w:firstLine="540"/>
        <w:jc w:val="both"/>
      </w:pPr>
      <w:r>
        <w:rPr>
          <w:sz w:val="20"/>
        </w:rPr>
        <w:t xml:space="preserve">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pPr>
        <w:pStyle w:val="0"/>
        <w:spacing w:before="200" w:line-rule="auto"/>
        <w:ind w:firstLine="540"/>
        <w:jc w:val="both"/>
      </w:pPr>
      <w:r>
        <w:rPr>
          <w:sz w:val="20"/>
        </w:rPr>
        <w:t xml:space="preserve">г) сбор персональных данных, в том числе в сети "Интернет", осуществляемый с использованием иностранных программ и сервисов.</w:t>
      </w:r>
    </w:p>
    <w:p>
      <w:pPr>
        <w:pStyle w:val="0"/>
        <w:spacing w:before="200" w:line-rule="auto"/>
        <w:ind w:firstLine="540"/>
        <w:jc w:val="both"/>
      </w:pPr>
      <w:r>
        <w:rPr>
          <w:sz w:val="20"/>
        </w:rPr>
        <w:t xml:space="preserve">4. К группе тяжести "В" относятся следующие виды деятельности:</w:t>
      </w:r>
    </w:p>
    <w:p>
      <w:pPr>
        <w:pStyle w:val="0"/>
        <w:spacing w:before="200" w:line-rule="auto"/>
        <w:ind w:firstLine="540"/>
        <w:jc w:val="both"/>
      </w:pPr>
      <w:r>
        <w:rPr>
          <w:sz w:val="20"/>
        </w:rPr>
        <w:t xml:space="preserve">а) обработка персональных данных близких родственников субъекта персональных данных;</w:t>
      </w:r>
    </w:p>
    <w:p>
      <w:pPr>
        <w:pStyle w:val="0"/>
        <w:spacing w:before="200" w:line-rule="auto"/>
        <w:ind w:firstLine="540"/>
        <w:jc w:val="both"/>
      </w:pPr>
      <w:r>
        <w:rPr>
          <w:sz w:val="20"/>
        </w:rPr>
        <w:t xml:space="preserve">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pPr>
        <w:pStyle w:val="0"/>
        <w:spacing w:before="200" w:line-rule="auto"/>
        <w:ind w:firstLine="540"/>
        <w:jc w:val="both"/>
      </w:pPr>
      <w:r>
        <w:rPr>
          <w:sz w:val="20"/>
        </w:rPr>
        <w:t xml:space="preserve">в) трансграничная передача персональных данных на территорию иностранных государств, не являющихся сторонами </w:t>
      </w:r>
      <w:hyperlink w:history="0" r:id="rId3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w:history="0" r:id="rId39"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w:history="0" r:id="rId40" w:tooltip="Федеральный закон от 27.07.2006 N 152-ФЗ (ред. от 06.02.2023) &quot;О персональных данных&quot; {КонсультантПлюс}">
        <w:r>
          <w:rPr>
            <w:sz w:val="20"/>
            <w:color w:val="0000ff"/>
          </w:rPr>
          <w:t xml:space="preserve">частью 2 статьи 12</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pPr>
        <w:pStyle w:val="0"/>
        <w:spacing w:before="200" w:line-rule="auto"/>
        <w:ind w:firstLine="540"/>
        <w:jc w:val="both"/>
      </w:pPr>
      <w:r>
        <w:rPr>
          <w:sz w:val="20"/>
        </w:rPr>
        <w:t xml:space="preserve">5. К группе тяжести "Г" относятся следующие виды деятельности:</w:t>
      </w:r>
    </w:p>
    <w:p>
      <w:pPr>
        <w:pStyle w:val="0"/>
        <w:spacing w:before="200" w:line-rule="auto"/>
        <w:ind w:firstLine="540"/>
        <w:jc w:val="both"/>
      </w:pPr>
      <w:r>
        <w:rPr>
          <w:sz w:val="20"/>
        </w:rPr>
        <w:t xml:space="preserve">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pPr>
        <w:pStyle w:val="0"/>
        <w:spacing w:before="200" w:line-rule="auto"/>
        <w:ind w:firstLine="540"/>
        <w:jc w:val="both"/>
      </w:pPr>
      <w:r>
        <w:rPr>
          <w:sz w:val="20"/>
        </w:rP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w:history="0" r:id="rId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в) обработка персональных данных, полученных из общедоступных источников персональных данных;</w:t>
      </w:r>
    </w:p>
    <w:p>
      <w:pPr>
        <w:pStyle w:val="0"/>
        <w:spacing w:before="200" w:line-rule="auto"/>
        <w:ind w:firstLine="540"/>
        <w:jc w:val="both"/>
      </w:pPr>
      <w:r>
        <w:rPr>
          <w:sz w:val="20"/>
        </w:rPr>
        <w:t xml:space="preserve">г) трансграничная передача персональных данных на территорию иностранных государств, являющихся сторонами </w:t>
      </w:r>
      <w:hyperlink w:history="0" r:id="rId4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w:t>
      </w:r>
    </w:p>
    <w:p>
      <w:pPr>
        <w:pStyle w:val="0"/>
        <w:spacing w:before="200" w:line-rule="auto"/>
        <w:ind w:firstLine="540"/>
        <w:jc w:val="both"/>
      </w:pPr>
      <w:r>
        <w:rPr>
          <w:sz w:val="20"/>
        </w:rPr>
        <w:t xml:space="preserve">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pPr>
        <w:pStyle w:val="0"/>
        <w:spacing w:before="200" w:line-rule="auto"/>
        <w:ind w:firstLine="540"/>
        <w:jc w:val="both"/>
      </w:pPr>
      <w:r>
        <w:rPr>
          <w:sz w:val="20"/>
        </w:rPr>
        <w:t xml:space="preserve">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bookmarkStart w:id="339" w:name="P339"/>
    <w:bookmarkEnd w:id="339"/>
    <w:p>
      <w:pPr>
        <w:pStyle w:val="0"/>
        <w:spacing w:before="200" w:line-rule="auto"/>
        <w:ind w:firstLine="540"/>
        <w:jc w:val="both"/>
      </w:pPr>
      <w:r>
        <w:rPr>
          <w:sz w:val="20"/>
        </w:rP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w:history="0" r:id="rId43"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частями 1.1</w:t>
        </w:r>
      </w:hyperlink>
      <w:r>
        <w:rPr>
          <w:sz w:val="20"/>
        </w:rPr>
        <w:t xml:space="preserve">, </w:t>
      </w:r>
      <w:hyperlink w:history="0" r:id="rId44"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2.1</w:t>
        </w:r>
      </w:hyperlink>
      <w:r>
        <w:rPr>
          <w:sz w:val="20"/>
        </w:rPr>
        <w:t xml:space="preserve">, </w:t>
      </w:r>
      <w:hyperlink w:history="0" r:id="rId45"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5.1</w:t>
        </w:r>
      </w:hyperlink>
      <w:r>
        <w:rPr>
          <w:sz w:val="20"/>
        </w:rPr>
        <w:t xml:space="preserve">, </w:t>
      </w:r>
      <w:hyperlink w:history="0" r:id="rId46"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9 статьи 13.11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pPr>
        <w:pStyle w:val="0"/>
        <w:spacing w:before="200" w:line-rule="auto"/>
        <w:ind w:firstLine="540"/>
        <w:jc w:val="both"/>
      </w:pPr>
      <w:r>
        <w:rPr>
          <w:sz w:val="20"/>
        </w:rPr>
        <w:t xml:space="preserve">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pPr>
        <w:pStyle w:val="0"/>
        <w:spacing w:before="200" w:line-rule="auto"/>
        <w:ind w:firstLine="540"/>
        <w:jc w:val="both"/>
      </w:pPr>
      <w:r>
        <w:rPr>
          <w:sz w:val="20"/>
        </w:rP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w:history="0" r:id="rId47"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частями 1</w:t>
        </w:r>
      </w:hyperlink>
      <w:r>
        <w:rPr>
          <w:sz w:val="20"/>
        </w:rPr>
        <w:t xml:space="preserve">, </w:t>
      </w:r>
      <w:hyperlink w:history="0" r:id="rId48"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2</w:t>
        </w:r>
      </w:hyperlink>
      <w:r>
        <w:rPr>
          <w:sz w:val="20"/>
        </w:rPr>
        <w:t xml:space="preserve">, </w:t>
      </w:r>
      <w:hyperlink w:history="0" r:id="rId49"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5</w:t>
        </w:r>
      </w:hyperlink>
      <w:r>
        <w:rPr>
          <w:sz w:val="20"/>
        </w:rPr>
        <w:t xml:space="preserve">, </w:t>
      </w:r>
      <w:hyperlink w:history="0" r:id="rId50"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6</w:t>
        </w:r>
      </w:hyperlink>
      <w:r>
        <w:rPr>
          <w:sz w:val="20"/>
        </w:rPr>
        <w:t xml:space="preserve">, </w:t>
      </w:r>
      <w:hyperlink w:history="0" r:id="rId51"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8 статьи 13.11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pPr>
        <w:pStyle w:val="0"/>
        <w:spacing w:before="200" w:line-rule="auto"/>
        <w:ind w:firstLine="540"/>
        <w:jc w:val="both"/>
      </w:pPr>
      <w:r>
        <w:rPr>
          <w:sz w:val="20"/>
        </w:rPr>
        <w:t xml:space="preserve">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bookmarkStart w:id="345" w:name="P345"/>
    <w:bookmarkEnd w:id="345"/>
    <w:p>
      <w:pPr>
        <w:pStyle w:val="0"/>
        <w:spacing w:before="200" w:line-rule="auto"/>
        <w:ind w:firstLine="540"/>
        <w:jc w:val="both"/>
      </w:pPr>
      <w:r>
        <w:rPr>
          <w:sz w:val="20"/>
        </w:rP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w:history="0" r:id="rId52"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частями 4</w:t>
        </w:r>
      </w:hyperlink>
      <w:r>
        <w:rPr>
          <w:sz w:val="20"/>
        </w:rPr>
        <w:t xml:space="preserve">, </w:t>
      </w:r>
      <w:hyperlink w:history="0" r:id="rId53"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7 статьи 13.11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pPr>
        <w:pStyle w:val="0"/>
        <w:spacing w:before="200" w:line-rule="auto"/>
        <w:ind w:firstLine="540"/>
        <w:jc w:val="both"/>
      </w:pPr>
      <w:r>
        <w:rPr>
          <w:sz w:val="20"/>
        </w:rPr>
        <w:t xml:space="preserve">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pPr>
        <w:pStyle w:val="0"/>
        <w:spacing w:before="200" w:line-rule="auto"/>
        <w:ind w:firstLine="540"/>
        <w:jc w:val="both"/>
      </w:pPr>
      <w:r>
        <w:rPr>
          <w:sz w:val="20"/>
        </w:rPr>
        <w:t xml:space="preserve">11. К группе вероятности "4" относится деятельность контролируемых лиц при отсутствии обстоятельств, указанных в </w:t>
      </w:r>
      <w:hyperlink w:history="0" w:anchor="P339" w:tooltip="8. К группе вероятности &quot;1&quot;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частями 1.1, 2.1, 5.1, 9 статьи 13.11 Кодекса Российской Федерации об административных правонарушениях:">
        <w:r>
          <w:rPr>
            <w:sz w:val="20"/>
            <w:color w:val="0000ff"/>
          </w:rPr>
          <w:t xml:space="preserve">пунктах 8</w:t>
        </w:r>
      </w:hyperlink>
      <w:r>
        <w:rPr>
          <w:sz w:val="20"/>
        </w:rPr>
        <w:t xml:space="preserve"> - </w:t>
      </w:r>
      <w:hyperlink w:history="0" w:anchor="P345" w:tooltip="10. К группе вероятности &quot;3&quot;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частями 4, 7 статьи 13.11 Кодекса Российской Федерации об административных правонарушениях:">
        <w:r>
          <w:rPr>
            <w:sz w:val="20"/>
            <w:color w:val="0000ff"/>
          </w:rPr>
          <w:t xml:space="preserve">10</w:t>
        </w:r>
      </w:hyperlink>
      <w:r>
        <w:rPr>
          <w:sz w:val="20"/>
        </w:rPr>
        <w:t xml:space="preserve"> настоящего приложения.</w:t>
      </w:r>
    </w:p>
    <w:p>
      <w:pPr>
        <w:pStyle w:val="0"/>
        <w:spacing w:before="200" w:line-rule="auto"/>
        <w:ind w:firstLine="540"/>
        <w:jc w:val="both"/>
      </w:pPr>
      <w:r>
        <w:rPr>
          <w:sz w:val="20"/>
        </w:rPr>
        <w:t xml:space="preserve">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pPr>
        <w:pStyle w:val="0"/>
        <w:spacing w:before="200" w:line-rule="auto"/>
        <w:ind w:firstLine="540"/>
        <w:jc w:val="both"/>
      </w:pPr>
      <w:r>
        <w:rPr>
          <w:sz w:val="20"/>
        </w:rPr>
        <w:t xml:space="preserve">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422"/>
        <w:gridCol w:w="2324"/>
        <w:gridCol w:w="2325"/>
      </w:tblGrid>
      <w:tr>
        <w:tblPrEx>
          <w:tblBorders>
            <w:insideH w:val="single" w:sz="4"/>
          </w:tblBorders>
        </w:tblPrEx>
        <w:tc>
          <w:tcPr>
            <w:tcW w:w="4422" w:type="dxa"/>
            <w:tcBorders>
              <w:top w:val="single" w:sz="4"/>
              <w:left w:val="nil"/>
              <w:bottom w:val="single" w:sz="4"/>
              <w:right w:val="nil"/>
            </w:tcBorders>
          </w:tcPr>
          <w:p>
            <w:pPr>
              <w:pStyle w:val="0"/>
              <w:jc w:val="center"/>
            </w:pPr>
            <w:r>
              <w:rPr>
                <w:sz w:val="20"/>
              </w:rPr>
              <w:t xml:space="preserve">Категория риска</w:t>
            </w:r>
          </w:p>
        </w:tc>
        <w:tc>
          <w:tcPr>
            <w:tcW w:w="2324" w:type="dxa"/>
            <w:tcBorders>
              <w:top w:val="single" w:sz="4"/>
              <w:left w:val="nil"/>
              <w:bottom w:val="single" w:sz="4"/>
              <w:right w:val="nil"/>
            </w:tcBorders>
          </w:tcPr>
          <w:p>
            <w:pPr>
              <w:pStyle w:val="0"/>
              <w:jc w:val="center"/>
            </w:pPr>
            <w:r>
              <w:rPr>
                <w:sz w:val="20"/>
              </w:rPr>
              <w:t xml:space="preserve">Группа тяжести</w:t>
            </w:r>
          </w:p>
        </w:tc>
        <w:tc>
          <w:tcPr>
            <w:tcW w:w="2325" w:type="dxa"/>
            <w:tcBorders>
              <w:top w:val="single" w:sz="4"/>
              <w:left w:val="nil"/>
              <w:bottom w:val="single" w:sz="4"/>
              <w:right w:val="nil"/>
            </w:tcBorders>
          </w:tcPr>
          <w:p>
            <w:pPr>
              <w:pStyle w:val="0"/>
              <w:jc w:val="center"/>
            </w:pPr>
            <w:r>
              <w:rPr>
                <w:sz w:val="20"/>
              </w:rPr>
              <w:t xml:space="preserve">Группа вероятности</w:t>
            </w:r>
          </w:p>
        </w:tc>
      </w:tr>
      <w:tr>
        <w:tc>
          <w:tcPr>
            <w:tcW w:w="4422" w:type="dxa"/>
            <w:tcBorders>
              <w:top w:val="single" w:sz="4"/>
              <w:left w:val="nil"/>
              <w:bottom w:val="nil"/>
              <w:right w:val="nil"/>
            </w:tcBorders>
          </w:tcPr>
          <w:p>
            <w:pPr>
              <w:pStyle w:val="0"/>
            </w:pPr>
            <w:r>
              <w:rPr>
                <w:sz w:val="20"/>
              </w:rPr>
              <w:t xml:space="preserve">Высокий риск</w:t>
            </w:r>
          </w:p>
        </w:tc>
        <w:tc>
          <w:tcPr>
            <w:tcW w:w="2324" w:type="dxa"/>
            <w:tcBorders>
              <w:top w:val="single" w:sz="4"/>
              <w:left w:val="nil"/>
              <w:bottom w:val="nil"/>
              <w:right w:val="nil"/>
            </w:tcBorders>
          </w:tcPr>
          <w:p>
            <w:pPr>
              <w:pStyle w:val="0"/>
              <w:jc w:val="center"/>
            </w:pPr>
            <w:r>
              <w:rPr>
                <w:sz w:val="20"/>
              </w:rPr>
              <w:t xml:space="preserve">А</w:t>
            </w:r>
          </w:p>
        </w:tc>
        <w:tc>
          <w:tcPr>
            <w:tcW w:w="2325" w:type="dxa"/>
            <w:tcBorders>
              <w:top w:val="single" w:sz="4"/>
              <w:left w:val="nil"/>
              <w:bottom w:val="nil"/>
              <w:right w:val="nil"/>
            </w:tcBorders>
          </w:tcPr>
          <w:p>
            <w:pPr>
              <w:pStyle w:val="0"/>
              <w:jc w:val="center"/>
            </w:pPr>
            <w:r>
              <w:rPr>
                <w:sz w:val="20"/>
              </w:rPr>
              <w:t xml:space="preserve">1</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Б</w:t>
            </w:r>
          </w:p>
        </w:tc>
        <w:tc>
          <w:tcPr>
            <w:tcW w:w="2325" w:type="dxa"/>
            <w:tcBorders>
              <w:top w:val="nil"/>
              <w:left w:val="nil"/>
              <w:bottom w:val="nil"/>
              <w:right w:val="nil"/>
            </w:tcBorders>
          </w:tcPr>
          <w:p>
            <w:pPr>
              <w:pStyle w:val="0"/>
              <w:jc w:val="center"/>
            </w:pPr>
            <w:r>
              <w:rPr>
                <w:sz w:val="20"/>
              </w:rPr>
              <w:t xml:space="preserve">1</w:t>
            </w:r>
          </w:p>
        </w:tc>
      </w:tr>
      <w:tr>
        <w:tc>
          <w:tcPr>
            <w:tcW w:w="4422" w:type="dxa"/>
            <w:tcBorders>
              <w:top w:val="nil"/>
              <w:left w:val="nil"/>
              <w:bottom w:val="nil"/>
              <w:right w:val="nil"/>
            </w:tcBorders>
          </w:tcPr>
          <w:p>
            <w:pPr>
              <w:pStyle w:val="0"/>
            </w:pPr>
            <w:r>
              <w:rPr>
                <w:sz w:val="20"/>
              </w:rPr>
              <w:t xml:space="preserve">Значительный риск</w:t>
            </w:r>
          </w:p>
        </w:tc>
        <w:tc>
          <w:tcPr>
            <w:tcW w:w="2324" w:type="dxa"/>
            <w:tcBorders>
              <w:top w:val="nil"/>
              <w:left w:val="nil"/>
              <w:bottom w:val="nil"/>
              <w:right w:val="nil"/>
            </w:tcBorders>
          </w:tcPr>
          <w:p>
            <w:pPr>
              <w:pStyle w:val="0"/>
              <w:jc w:val="center"/>
            </w:pPr>
            <w:r>
              <w:rPr>
                <w:sz w:val="20"/>
              </w:rPr>
              <w:t xml:space="preserve">А</w:t>
            </w:r>
          </w:p>
        </w:tc>
        <w:tc>
          <w:tcPr>
            <w:tcW w:w="2325" w:type="dxa"/>
            <w:tcBorders>
              <w:top w:val="nil"/>
              <w:left w:val="nil"/>
              <w:bottom w:val="nil"/>
              <w:right w:val="nil"/>
            </w:tcBorders>
          </w:tcPr>
          <w:p>
            <w:pPr>
              <w:pStyle w:val="0"/>
              <w:jc w:val="center"/>
            </w:pPr>
            <w:r>
              <w:rPr>
                <w:sz w:val="20"/>
              </w:rPr>
              <w:t xml:space="preserve">2</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А</w:t>
            </w:r>
          </w:p>
        </w:tc>
        <w:tc>
          <w:tcPr>
            <w:tcW w:w="2325" w:type="dxa"/>
            <w:tcBorders>
              <w:top w:val="nil"/>
              <w:left w:val="nil"/>
              <w:bottom w:val="nil"/>
              <w:right w:val="nil"/>
            </w:tcBorders>
          </w:tcPr>
          <w:p>
            <w:pPr>
              <w:pStyle w:val="0"/>
              <w:jc w:val="center"/>
            </w:pPr>
            <w:r>
              <w:rPr>
                <w:sz w:val="20"/>
              </w:rPr>
              <w:t xml:space="preserve">3</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Б</w:t>
            </w:r>
          </w:p>
        </w:tc>
        <w:tc>
          <w:tcPr>
            <w:tcW w:w="2325" w:type="dxa"/>
            <w:tcBorders>
              <w:top w:val="nil"/>
              <w:left w:val="nil"/>
              <w:bottom w:val="nil"/>
              <w:right w:val="nil"/>
            </w:tcBorders>
          </w:tcPr>
          <w:p>
            <w:pPr>
              <w:pStyle w:val="0"/>
              <w:jc w:val="center"/>
            </w:pPr>
            <w:r>
              <w:rPr>
                <w:sz w:val="20"/>
              </w:rPr>
              <w:t xml:space="preserve">2</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В</w:t>
            </w:r>
          </w:p>
        </w:tc>
        <w:tc>
          <w:tcPr>
            <w:tcW w:w="2325" w:type="dxa"/>
            <w:tcBorders>
              <w:top w:val="nil"/>
              <w:left w:val="nil"/>
              <w:bottom w:val="nil"/>
              <w:right w:val="nil"/>
            </w:tcBorders>
          </w:tcPr>
          <w:p>
            <w:pPr>
              <w:pStyle w:val="0"/>
              <w:jc w:val="center"/>
            </w:pPr>
            <w:r>
              <w:rPr>
                <w:sz w:val="20"/>
              </w:rPr>
              <w:t xml:space="preserve">1</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В</w:t>
            </w:r>
          </w:p>
        </w:tc>
        <w:tc>
          <w:tcPr>
            <w:tcW w:w="2325" w:type="dxa"/>
            <w:tcBorders>
              <w:top w:val="nil"/>
              <w:left w:val="nil"/>
              <w:bottom w:val="nil"/>
              <w:right w:val="nil"/>
            </w:tcBorders>
          </w:tcPr>
          <w:p>
            <w:pPr>
              <w:pStyle w:val="0"/>
              <w:jc w:val="center"/>
            </w:pPr>
            <w:r>
              <w:rPr>
                <w:sz w:val="20"/>
              </w:rPr>
              <w:t xml:space="preserve">2</w:t>
            </w:r>
          </w:p>
        </w:tc>
      </w:tr>
      <w:tr>
        <w:tc>
          <w:tcPr>
            <w:tcW w:w="4422" w:type="dxa"/>
            <w:tcBorders>
              <w:top w:val="nil"/>
              <w:left w:val="nil"/>
              <w:bottom w:val="nil"/>
              <w:right w:val="nil"/>
            </w:tcBorders>
          </w:tcPr>
          <w:p>
            <w:pPr>
              <w:pStyle w:val="0"/>
            </w:pPr>
            <w:r>
              <w:rPr>
                <w:sz w:val="20"/>
              </w:rPr>
              <w:t xml:space="preserve">Средний риск</w:t>
            </w:r>
          </w:p>
        </w:tc>
        <w:tc>
          <w:tcPr>
            <w:tcW w:w="2324" w:type="dxa"/>
            <w:tcBorders>
              <w:top w:val="nil"/>
              <w:left w:val="nil"/>
              <w:bottom w:val="nil"/>
              <w:right w:val="nil"/>
            </w:tcBorders>
          </w:tcPr>
          <w:p>
            <w:pPr>
              <w:pStyle w:val="0"/>
              <w:jc w:val="center"/>
            </w:pPr>
            <w:r>
              <w:rPr>
                <w:sz w:val="20"/>
              </w:rPr>
              <w:t xml:space="preserve">А</w:t>
            </w:r>
          </w:p>
        </w:tc>
        <w:tc>
          <w:tcPr>
            <w:tcW w:w="2325" w:type="dxa"/>
            <w:tcBorders>
              <w:top w:val="nil"/>
              <w:left w:val="nil"/>
              <w:bottom w:val="nil"/>
              <w:right w:val="nil"/>
            </w:tcBorders>
          </w:tcPr>
          <w:p>
            <w:pPr>
              <w:pStyle w:val="0"/>
              <w:jc w:val="center"/>
            </w:pPr>
            <w:r>
              <w:rPr>
                <w:sz w:val="20"/>
              </w:rPr>
              <w:t xml:space="preserve">4</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Б</w:t>
            </w:r>
          </w:p>
        </w:tc>
        <w:tc>
          <w:tcPr>
            <w:tcW w:w="2325" w:type="dxa"/>
            <w:tcBorders>
              <w:top w:val="nil"/>
              <w:left w:val="nil"/>
              <w:bottom w:val="nil"/>
              <w:right w:val="nil"/>
            </w:tcBorders>
          </w:tcPr>
          <w:p>
            <w:pPr>
              <w:pStyle w:val="0"/>
              <w:jc w:val="center"/>
            </w:pPr>
            <w:r>
              <w:rPr>
                <w:sz w:val="20"/>
              </w:rPr>
              <w:t xml:space="preserve">3</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В</w:t>
            </w:r>
          </w:p>
        </w:tc>
        <w:tc>
          <w:tcPr>
            <w:tcW w:w="2325" w:type="dxa"/>
            <w:tcBorders>
              <w:top w:val="nil"/>
              <w:left w:val="nil"/>
              <w:bottom w:val="nil"/>
              <w:right w:val="nil"/>
            </w:tcBorders>
          </w:tcPr>
          <w:p>
            <w:pPr>
              <w:pStyle w:val="0"/>
              <w:jc w:val="center"/>
            </w:pPr>
            <w:r>
              <w:rPr>
                <w:sz w:val="20"/>
              </w:rPr>
              <w:t xml:space="preserve">3</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Г</w:t>
            </w:r>
          </w:p>
        </w:tc>
        <w:tc>
          <w:tcPr>
            <w:tcW w:w="2325" w:type="dxa"/>
            <w:tcBorders>
              <w:top w:val="nil"/>
              <w:left w:val="nil"/>
              <w:bottom w:val="nil"/>
              <w:right w:val="nil"/>
            </w:tcBorders>
          </w:tcPr>
          <w:p>
            <w:pPr>
              <w:pStyle w:val="0"/>
              <w:jc w:val="center"/>
            </w:pPr>
            <w:r>
              <w:rPr>
                <w:sz w:val="20"/>
              </w:rPr>
              <w:t xml:space="preserve">1</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Г</w:t>
            </w:r>
          </w:p>
        </w:tc>
        <w:tc>
          <w:tcPr>
            <w:tcW w:w="2325" w:type="dxa"/>
            <w:tcBorders>
              <w:top w:val="nil"/>
              <w:left w:val="nil"/>
              <w:bottom w:val="nil"/>
              <w:right w:val="nil"/>
            </w:tcBorders>
          </w:tcPr>
          <w:p>
            <w:pPr>
              <w:pStyle w:val="0"/>
              <w:jc w:val="center"/>
            </w:pPr>
            <w:r>
              <w:rPr>
                <w:sz w:val="20"/>
              </w:rPr>
              <w:t xml:space="preserve">2</w:t>
            </w:r>
          </w:p>
        </w:tc>
      </w:tr>
      <w:tr>
        <w:tc>
          <w:tcPr>
            <w:tcW w:w="4422" w:type="dxa"/>
            <w:tcBorders>
              <w:top w:val="nil"/>
              <w:left w:val="nil"/>
              <w:bottom w:val="nil"/>
              <w:right w:val="nil"/>
            </w:tcBorders>
          </w:tcPr>
          <w:p>
            <w:pPr>
              <w:pStyle w:val="0"/>
            </w:pPr>
            <w:r>
              <w:rPr>
                <w:sz w:val="20"/>
              </w:rPr>
              <w:t xml:space="preserve">Умеренный риск</w:t>
            </w:r>
          </w:p>
        </w:tc>
        <w:tc>
          <w:tcPr>
            <w:tcW w:w="2324" w:type="dxa"/>
            <w:tcBorders>
              <w:top w:val="nil"/>
              <w:left w:val="nil"/>
              <w:bottom w:val="nil"/>
              <w:right w:val="nil"/>
            </w:tcBorders>
          </w:tcPr>
          <w:p>
            <w:pPr>
              <w:pStyle w:val="0"/>
              <w:jc w:val="center"/>
            </w:pPr>
            <w:r>
              <w:rPr>
                <w:sz w:val="20"/>
              </w:rPr>
              <w:t xml:space="preserve">Б</w:t>
            </w:r>
          </w:p>
        </w:tc>
        <w:tc>
          <w:tcPr>
            <w:tcW w:w="2325" w:type="dxa"/>
            <w:tcBorders>
              <w:top w:val="nil"/>
              <w:left w:val="nil"/>
              <w:bottom w:val="nil"/>
              <w:right w:val="nil"/>
            </w:tcBorders>
          </w:tcPr>
          <w:p>
            <w:pPr>
              <w:pStyle w:val="0"/>
              <w:jc w:val="center"/>
            </w:pPr>
            <w:r>
              <w:rPr>
                <w:sz w:val="20"/>
              </w:rPr>
              <w:t xml:space="preserve">4</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В</w:t>
            </w:r>
          </w:p>
        </w:tc>
        <w:tc>
          <w:tcPr>
            <w:tcW w:w="2325" w:type="dxa"/>
            <w:tcBorders>
              <w:top w:val="nil"/>
              <w:left w:val="nil"/>
              <w:bottom w:val="nil"/>
              <w:right w:val="nil"/>
            </w:tcBorders>
          </w:tcPr>
          <w:p>
            <w:pPr>
              <w:pStyle w:val="0"/>
              <w:jc w:val="center"/>
            </w:pPr>
            <w:r>
              <w:rPr>
                <w:sz w:val="20"/>
              </w:rPr>
              <w:t xml:space="preserve">4</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Г</w:t>
            </w:r>
          </w:p>
        </w:tc>
        <w:tc>
          <w:tcPr>
            <w:tcW w:w="2325" w:type="dxa"/>
            <w:tcBorders>
              <w:top w:val="nil"/>
              <w:left w:val="nil"/>
              <w:bottom w:val="nil"/>
              <w:right w:val="nil"/>
            </w:tcBorders>
          </w:tcPr>
          <w:p>
            <w:pPr>
              <w:pStyle w:val="0"/>
              <w:jc w:val="center"/>
            </w:pPr>
            <w:r>
              <w:rPr>
                <w:sz w:val="20"/>
              </w:rPr>
              <w:t xml:space="preserve">3</w:t>
            </w:r>
          </w:p>
        </w:tc>
      </w:tr>
      <w:tr>
        <w:tc>
          <w:tcPr>
            <w:tcW w:w="4422" w:type="dxa"/>
            <w:tcBorders>
              <w:top w:val="nil"/>
              <w:left w:val="nil"/>
              <w:bottom w:val="single" w:sz="4"/>
              <w:right w:val="nil"/>
            </w:tcBorders>
          </w:tcPr>
          <w:p>
            <w:pPr>
              <w:pStyle w:val="0"/>
            </w:pPr>
            <w:r>
              <w:rPr>
                <w:sz w:val="20"/>
              </w:rPr>
              <w:t xml:space="preserve">Низкий риск</w:t>
            </w:r>
          </w:p>
        </w:tc>
        <w:tc>
          <w:tcPr>
            <w:tcW w:w="2324" w:type="dxa"/>
            <w:tcBorders>
              <w:top w:val="nil"/>
              <w:left w:val="nil"/>
              <w:bottom w:val="single" w:sz="4"/>
              <w:right w:val="nil"/>
            </w:tcBorders>
          </w:tcPr>
          <w:p>
            <w:pPr>
              <w:pStyle w:val="0"/>
              <w:jc w:val="center"/>
            </w:pPr>
            <w:r>
              <w:rPr>
                <w:sz w:val="20"/>
              </w:rPr>
              <w:t xml:space="preserve">Г</w:t>
            </w:r>
          </w:p>
        </w:tc>
        <w:tc>
          <w:tcPr>
            <w:tcW w:w="2325" w:type="dxa"/>
            <w:tcBorders>
              <w:top w:val="nil"/>
              <w:left w:val="nil"/>
              <w:bottom w:val="single" w:sz="4"/>
              <w:right w:val="nil"/>
            </w:tcBorders>
          </w:tcPr>
          <w:p>
            <w:pPr>
              <w:pStyle w:val="0"/>
              <w:jc w:val="center"/>
            </w:pPr>
            <w:r>
              <w:rPr>
                <w:sz w:val="20"/>
              </w:rPr>
              <w:t xml:space="preserve">4</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29.06.2021 N 1046</w:t>
            <w:br/>
            <w:t>(ред. от 16.12.2021)</w:t>
            <w:br/>
            <w:t>"О федеральном государственном контроле (надзор...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8634124C5DC262C61D53640C037FB94AD9BE5BF6CAE1C666D8C25946430A215F7F75C74875339573E01941C3C66CEE597EA1AF1F50D5364Dw5H" TargetMode = "External"/>
	<Relationship Id="rId8" Type="http://schemas.openxmlformats.org/officeDocument/2006/relationships/hyperlink" Target="consultantplus://offline/ref=408634124C5DC262C61D53640C037FB94DD8B55EF2CEE1C666D8C25946430A214D7F2DCB497C2D957FF54F108549w0H" TargetMode = "External"/>
	<Relationship Id="rId9" Type="http://schemas.openxmlformats.org/officeDocument/2006/relationships/hyperlink" Target="consultantplus://offline/ref=408634124C5DC262C61D53640C037FB94AD9BE5BF6CAE1C666D8C25946430A215F7F75C74875339573E01941C3C66CEE597EA1AF1F50D5364Dw5H" TargetMode = "External"/>
	<Relationship Id="rId10" Type="http://schemas.openxmlformats.org/officeDocument/2006/relationships/hyperlink" Target="consultantplus://offline/ref=408634124C5DC262C61D53640C037FB94ADAB45EF7C9E1C666D8C25946430A215F7F75C0497E67C432BE40118E8D61E64E62A1A440w2H" TargetMode = "External"/>
	<Relationship Id="rId11" Type="http://schemas.openxmlformats.org/officeDocument/2006/relationships/hyperlink" Target="consultantplus://offline/ref=408634124C5DC262C61D53640C037FB94ADCBF55F6C9E1C666D8C25946430A215F7F75C7487530977FE01941C3C66CEE597EA1AF1F50D5364Dw5H" TargetMode = "External"/>
	<Relationship Id="rId12" Type="http://schemas.openxmlformats.org/officeDocument/2006/relationships/hyperlink" Target="consultantplus://offline/ref=408634124C5DC262C61D53640C037FB94ADCBF55F6C9E1C666D8C25946430A214D7F2DCB497C2D957FF54F108549w0H" TargetMode = "External"/>
	<Relationship Id="rId13" Type="http://schemas.openxmlformats.org/officeDocument/2006/relationships/hyperlink" Target="consultantplus://offline/ref=408634124C5DC262C61D53640C037FB94ADAB45EF7C9E1C666D8C25946430A215F7F75C7487530907EE01941C3C66CEE597EA1AF1F50D5364Dw5H" TargetMode = "External"/>
	<Relationship Id="rId14" Type="http://schemas.openxmlformats.org/officeDocument/2006/relationships/hyperlink" Target="consultantplus://offline/ref=408634124C5DC262C61D53640C037FB94ADAB45EF7C9E1C666D8C25946430A215F7F75C7487530907EE01941C3C66CEE597EA1AF1F50D5364Dw5H" TargetMode = "External"/>
	<Relationship Id="rId15" Type="http://schemas.openxmlformats.org/officeDocument/2006/relationships/hyperlink" Target="consultantplus://offline/ref=408634124C5DC262C61D53640C037FB94ADAB45EF7C9E1C666D8C25946430A215F7F75C74875329377E01941C3C66CEE597EA1AF1F50D5364Dw5H" TargetMode = "External"/>
	<Relationship Id="rId16" Type="http://schemas.openxmlformats.org/officeDocument/2006/relationships/hyperlink" Target="consultantplus://offline/ref=408634124C5DC262C61D53640C037FB94ADCBF55F6C9E1C666D8C25946430A215F7F75C7487536957FE01941C3C66CEE597EA1AF1F50D5364Dw5H" TargetMode = "External"/>
	<Relationship Id="rId17" Type="http://schemas.openxmlformats.org/officeDocument/2006/relationships/hyperlink" Target="consultantplus://offline/ref=408634124C5DC262C61D53640C037FB94ADCBF55F6C9E1C666D8C25946430A215F7F75C74875369171E01941C3C66CEE597EA1AF1F50D5364Dw5H" TargetMode = "External"/>
	<Relationship Id="rId18" Type="http://schemas.openxmlformats.org/officeDocument/2006/relationships/hyperlink" Target="consultantplus://offline/ref=408634124C5DC262C61D53640C037FB94ADCBF55F6C9E1C666D8C25946430A215F7F75C74875319773E01941C3C66CEE597EA1AF1F50D5364Dw5H" TargetMode = "External"/>
	<Relationship Id="rId19" Type="http://schemas.openxmlformats.org/officeDocument/2006/relationships/hyperlink" Target="consultantplus://offline/ref=408634124C5DC262C61D53640C037FB94ADCBF55F6C9E1C666D8C25946430A215F7F75C74875369274E01941C3C66CEE597EA1AF1F50D5364Dw5H" TargetMode = "External"/>
	<Relationship Id="rId20" Type="http://schemas.openxmlformats.org/officeDocument/2006/relationships/hyperlink" Target="consultantplus://offline/ref=408634124C5DC262C61D53640C037FB94ADCBF55F6C9E1C666D8C25946430A215F7F75C7487536927EE01941C3C66CEE597EA1AF1F50D5364Dw5H" TargetMode = "External"/>
	<Relationship Id="rId21" Type="http://schemas.openxmlformats.org/officeDocument/2006/relationships/hyperlink" Target="consultantplus://offline/ref=408634124C5DC262C61D53640C037FB94ADCBF55F6C9E1C666D8C25946430A215F7F75C7487534977EE01941C3C66CEE597EA1AF1F50D5364Dw5H" TargetMode = "External"/>
	<Relationship Id="rId22" Type="http://schemas.openxmlformats.org/officeDocument/2006/relationships/hyperlink" Target="consultantplus://offline/ref=408634124C5DC262C61D53640C037FB94ADCBF55F6C9E1C666D8C25946430A215F7F75C74875359672E01941C3C66CEE597EA1AF1F50D5364Dw5H" TargetMode = "External"/>
	<Relationship Id="rId23" Type="http://schemas.openxmlformats.org/officeDocument/2006/relationships/hyperlink" Target="consultantplus://offline/ref=408634124C5DC262C61D53640C037FB94ADCBF55F6C9E1C666D8C25946430A215F7F75C74875359670E01941C3C66CEE597EA1AF1F50D5364Dw5H" TargetMode = "External"/>
	<Relationship Id="rId24" Type="http://schemas.openxmlformats.org/officeDocument/2006/relationships/hyperlink" Target="consultantplus://offline/ref=408634124C5DC262C61D53640C037FB94ADCBF55F6C9E1C666D8C25946430A215F7F75C7487535967FE01941C3C66CEE597EA1AF1F50D5364Dw5H" TargetMode = "External"/>
	<Relationship Id="rId25" Type="http://schemas.openxmlformats.org/officeDocument/2006/relationships/hyperlink" Target="consultantplus://offline/ref=408634124C5DC262C61D53640C037FB94ADCBF55F6C9E1C666D8C25946430A215F7F75C74874329273E01941C3C66CEE597EA1AF1F50D5364Dw5H" TargetMode = "External"/>
	<Relationship Id="rId26" Type="http://schemas.openxmlformats.org/officeDocument/2006/relationships/hyperlink" Target="consultantplus://offline/ref=408634124C5DC262C61D53640C037FB94ADCBF55F6C9E1C666D8C25946430A214D7F2DCB497C2D957FF54F108549w0H" TargetMode = "External"/>
	<Relationship Id="rId27" Type="http://schemas.openxmlformats.org/officeDocument/2006/relationships/hyperlink" Target="consultantplus://offline/ref=408634124C5DC262C61D53640C037FB94ADCBF55F6C9E1C666D8C25946430A215F7F75C748753B9077E01941C3C66CEE597EA1AF1F50D5364Dw5H" TargetMode = "External"/>
	<Relationship Id="rId28" Type="http://schemas.openxmlformats.org/officeDocument/2006/relationships/hyperlink" Target="consultantplus://offline/ref=408634124C5DC262C61D53640C037FB94ADCBF55F6C9E1C666D8C25946430A215F7F75C748753B9372E01941C3C66CEE597EA1AF1F50D5364Dw5H" TargetMode = "External"/>
	<Relationship Id="rId29" Type="http://schemas.openxmlformats.org/officeDocument/2006/relationships/hyperlink" Target="consultantplus://offline/ref=408634124C5DC262C61D53640C037FB94ADCBF55F6C9E1C666D8C25946430A215F7F75C74875319773E01941C3C66CEE597EA1AF1F50D5364Dw5H" TargetMode = "External"/>
	<Relationship Id="rId30" Type="http://schemas.openxmlformats.org/officeDocument/2006/relationships/hyperlink" Target="consultantplus://offline/ref=408634124C5DC262C61D53640C037FB94ADCBF55F6C9E1C666D8C25946430A215F7F75C74874329175E01941C3C66CEE597EA1AF1F50D5364Dw5H" TargetMode = "External"/>
	<Relationship Id="rId31" Type="http://schemas.openxmlformats.org/officeDocument/2006/relationships/hyperlink" Target="consultantplus://offline/ref=408634124C5DC262C61D53640C037FB94ADCBF55F6C9E1C666D8C25946430A215F7F75C74875379176E01941C3C66CEE597EA1AF1F50D5364Dw5H" TargetMode = "External"/>
	<Relationship Id="rId32" Type="http://schemas.openxmlformats.org/officeDocument/2006/relationships/hyperlink" Target="consultantplus://offline/ref=408634124C5DC262C61D53640C037FB94ADCBF55F6C9E1C666D8C25946430A215F7F75C74875379177E01941C3C66CEE597EA1AF1F50D5364Dw5H" TargetMode = "External"/>
	<Relationship Id="rId33" Type="http://schemas.openxmlformats.org/officeDocument/2006/relationships/hyperlink" Target="consultantplus://offline/ref=408634124C5DC262C61D53640C037FB94ADCBF55F6C9E1C666D8C25946430A215F7F75C7487535907FE01941C3C66CEE597EA1AF1F50D5364Dw5H" TargetMode = "External"/>
	<Relationship Id="rId34" Type="http://schemas.openxmlformats.org/officeDocument/2006/relationships/hyperlink" Target="consultantplus://offline/ref=408634124C5DC262C61D53640C037FB94AD9BE5BF6CAE1C666D8C25946430A215F7F75C74875339476E01941C3C66CEE597EA1AF1F50D5364Dw5H" TargetMode = "External"/>
	<Relationship Id="rId35" Type="http://schemas.openxmlformats.org/officeDocument/2006/relationships/hyperlink" Target="consultantplus://offline/ref=408634124C5DC262C61D53640C037FB94FDBBC58FEC1E1C666D8C25946430A214D7F2DCB497C2D957FF54F108549w0H" TargetMode = "External"/>
	<Relationship Id="rId36" Type="http://schemas.openxmlformats.org/officeDocument/2006/relationships/hyperlink" Target="consultantplus://offline/ref=408634124C5DC262C61D53640C037FB94FDBBC58FEC1E1C666D8C25946430A214D7F2DCB497C2D957FF54F108549w0H" TargetMode = "External"/>
	<Relationship Id="rId37" Type="http://schemas.openxmlformats.org/officeDocument/2006/relationships/hyperlink" Target="consultantplus://offline/ref=408634124C5DC262C61D53640C037FB94ADAB45EF7C9E1C666D8C25946430A215F7F75C7487530957FE01941C3C66CEE597EA1AF1F50D5364Dw5H" TargetMode = "External"/>
	<Relationship Id="rId38" Type="http://schemas.openxmlformats.org/officeDocument/2006/relationships/hyperlink" Target="consultantplus://offline/ref=408634124C5DC262C61D53640C037FB94FDBBC58FEC1E1C666D8C25946430A214D7F2DCB497C2D957FF54F108549w0H" TargetMode = "External"/>
	<Relationship Id="rId39" Type="http://schemas.openxmlformats.org/officeDocument/2006/relationships/hyperlink" Target="consultantplus://offline/ref=408634124C5DC262C61D53640C037FB94FDBBC58FEC1E1C666D8C25946430A214D7F2DCB497C2D957FF54F108549w0H" TargetMode = "External"/>
	<Relationship Id="rId40" Type="http://schemas.openxmlformats.org/officeDocument/2006/relationships/hyperlink" Target="consultantplus://offline/ref=408634124C5DC262C61D53640C037FB94ADAB45EF7C9E1C666D8C25946430A215F7F75C7487530957FE01941C3C66CEE597EA1AF1F50D5364Dw5H" TargetMode = "External"/>
	<Relationship Id="rId41" Type="http://schemas.openxmlformats.org/officeDocument/2006/relationships/hyperlink" Target="consultantplus://offline/ref=408634124C5DC262C61D53640C037FB94ADAB45EF7C9E1C666D8C25946430A214D7F2DCB497C2D957FF54F108549w0H" TargetMode = "External"/>
	<Relationship Id="rId42" Type="http://schemas.openxmlformats.org/officeDocument/2006/relationships/hyperlink" Target="consultantplus://offline/ref=408634124C5DC262C61D53640C037FB94FDBBC58FEC1E1C666D8C25946430A214D7F2DCB497C2D957FF54F108549w0H" TargetMode = "External"/>
	<Relationship Id="rId43" Type="http://schemas.openxmlformats.org/officeDocument/2006/relationships/hyperlink" Target="consultantplus://offline/ref=408634124C5DC262C61D53640C037FB94ADAB85CF7CDE1C666D8C25946430A215F7F75CF4B70329E22BA09458A9268F15069BFA401504Dw6H" TargetMode = "External"/>
	<Relationship Id="rId44" Type="http://schemas.openxmlformats.org/officeDocument/2006/relationships/hyperlink" Target="consultantplus://offline/ref=408634124C5DC262C61D53640C037FB94ADAB85CF7CDE1C666D8C25946430A215F7F75CF4B70379E22BA09458A9268F15069BFA401504Dw6H" TargetMode = "External"/>
	<Relationship Id="rId45" Type="http://schemas.openxmlformats.org/officeDocument/2006/relationships/hyperlink" Target="consultantplus://offline/ref=408634124C5DC262C61D53640C037FB94ADAB85CF7CDE1C666D8C25946430A215F7F75CF4B703A9E22BA09458A9268F15069BFA401504Dw6H" TargetMode = "External"/>
	<Relationship Id="rId46" Type="http://schemas.openxmlformats.org/officeDocument/2006/relationships/hyperlink" Target="consultantplus://offline/ref=408634124C5DC262C61D53640C037FB94ADAB85CF7CDE1C666D8C25946430A215F7F75CE4073339E22BA09458A9268F15069BFA401504Dw6H" TargetMode = "External"/>
	<Relationship Id="rId47" Type="http://schemas.openxmlformats.org/officeDocument/2006/relationships/hyperlink" Target="consultantplus://offline/ref=408634124C5DC262C61D53640C037FB94ADAB85CF7CDE1C666D8C25946430A215F7F75CF4D74379E22BA09458A9268F15069BFA401504Dw6H" TargetMode = "External"/>
	<Relationship Id="rId48" Type="http://schemas.openxmlformats.org/officeDocument/2006/relationships/hyperlink" Target="consultantplus://offline/ref=408634124C5DC262C61D53640C037FB94ADAB85CF7CDE1C666D8C25946430A215F7F75CF4D74369E22BA09458A9268F15069BFA401504Dw6H" TargetMode = "External"/>
	<Relationship Id="rId49" Type="http://schemas.openxmlformats.org/officeDocument/2006/relationships/hyperlink" Target="consultantplus://offline/ref=408634124C5DC262C61D53640C037FB94ADAB85CF7CDE1C666D8C25946430A215F7F75C14F73379E22BA09458A9268F15069BFA401504Dw6H" TargetMode = "External"/>
	<Relationship Id="rId50" Type="http://schemas.openxmlformats.org/officeDocument/2006/relationships/hyperlink" Target="consultantplus://offline/ref=408634124C5DC262C61D53640C037FB94ADAB85CF7CDE1C666D8C25946430A215F7F75C14F73359E22BA09458A9268F15069BFA401504Dw6H" TargetMode = "External"/>
	<Relationship Id="rId51" Type="http://schemas.openxmlformats.org/officeDocument/2006/relationships/hyperlink" Target="consultantplus://offline/ref=408634124C5DC262C61D53640C037FB94ADAB85CF7CDE1C666D8C25946430A215F7F75CE40703B9E22BA09458A9268F15069BFA401504Dw6H" TargetMode = "External"/>
	<Relationship Id="rId52" Type="http://schemas.openxmlformats.org/officeDocument/2006/relationships/hyperlink" Target="consultantplus://offline/ref=408634124C5DC262C61D53640C037FB94ADAB85CF7CDE1C666D8C25946430A215F7F75C14F73319E22BA09458A9268F15069BFA401504Dw6H" TargetMode = "External"/>
	<Relationship Id="rId53" Type="http://schemas.openxmlformats.org/officeDocument/2006/relationships/hyperlink" Target="consultantplus://offline/ref=408634124C5DC262C61D53640C037FB94ADAB85CF7CDE1C666D8C25946430A215F7F75C14F733B9E22BA09458A9268F15069BFA401504Dw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29.06.2021 N 1046
(ред. от 16.12.2021)
"О федеральном государственном контроле (надзоре) за обработкой персональных данных"
(вместе с "Положением о федеральном государственном контроле (надзоре) за обработкой персональных данных")</dc:title>
  <dcterms:created xsi:type="dcterms:W3CDTF">2023-09-19T07:48:54Z</dcterms:created>
</cp:coreProperties>
</file>