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9A" w:rsidRPr="007E279A" w:rsidRDefault="007E279A" w:rsidP="007E279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0" w:name="_Toc510816185"/>
      <w:bookmarkStart w:id="1" w:name="_Toc108779465"/>
      <w:bookmarkStart w:id="2" w:name="_Toc535401865"/>
      <w:bookmarkStart w:id="3" w:name="_Toc485825129"/>
      <w:bookmarkStart w:id="4" w:name="_Toc472886855"/>
      <w:r w:rsidRPr="007E27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1. СВЕДЕНИЯ О ВЫП</w:t>
      </w:r>
      <w:r w:rsidRPr="007E2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ОЛНЕНИИ ПОЛНОМОЧИЙ, ВОЗЛОЖЕННЫХ</w:t>
      </w:r>
      <w:r w:rsidRPr="007E2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7E27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НА ТЕРРИТОРИАЛЬНЫЙ ОРГАН РОСКОМНАДЗОРА</w:t>
      </w:r>
      <w:bookmarkEnd w:id="0"/>
      <w:bookmarkEnd w:id="1"/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5" w:name="_Toc472886812"/>
      <w:bookmarkStart w:id="6" w:name="_Toc479666280"/>
      <w:bookmarkStart w:id="7" w:name="_Toc503986387"/>
      <w:bookmarkStart w:id="8" w:name="_Toc510816186"/>
      <w:bookmarkStart w:id="9" w:name="_Toc108779466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 xml:space="preserve">1.1. </w:t>
      </w:r>
      <w:bookmarkEnd w:id="5"/>
      <w:bookmarkEnd w:id="6"/>
      <w:bookmarkEnd w:id="7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Общие сведения об объектах и предметах надзора</w:t>
      </w:r>
      <w:bookmarkEnd w:id="8"/>
      <w:bookmarkEnd w:id="9"/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10" w:name="_Toc479666281"/>
      <w:bookmarkStart w:id="11" w:name="_Toc503986388"/>
      <w:bookmarkStart w:id="12" w:name="_Toc510816187"/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осуществляет свою деятельность в соответствии с Положением об Управлении, утвержденным Приказом Руководителя Федеральной службы по надзору в сфере связи, информационных технологий и массовых коммуникаций (далее – </w:t>
      </w:r>
      <w:proofErr w:type="spellStart"/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Роскомнадзор</w:t>
      </w:r>
      <w:proofErr w:type="spellEnd"/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) от 25.01.2016 № 38.</w:t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За 6 месяцев 2022 года на территории Москвы и Московской области (московского региона) осуществляли деятельность 33 488 субъектов надзора. В целом количество субъектов надзора в сравнении с первым полугодием 2021 года возросло на 3%, что отражено на диаграмме 1.</w:t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  <w:t>Диаграмма 1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7E279A">
        <w:rPr>
          <w:rFonts w:ascii="Calibri" w:eastAsia="Calibri" w:hAnsi="Calibri" w:cs="Times New Roman"/>
          <w:noProof/>
          <w:color w:val="000000" w:themeColor="text1"/>
          <w:szCs w:val="28"/>
          <w:u w:color="000000"/>
          <w:bdr w:val="nil"/>
          <w:lang w:eastAsia="ru-RU"/>
        </w:rPr>
        <w:drawing>
          <wp:inline distT="0" distB="0" distL="0" distR="0" wp14:anchorId="08E0A190" wp14:editId="2CA2B7E7">
            <wp:extent cx="5899868" cy="3307742"/>
            <wp:effectExtent l="0" t="0" r="5715" b="698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Значительное снижение количества владельцев радиоэлектронных средств (далее – РЭС) связано с окончанием действия свидетельств, оформленных на РЭС, которые по действующему законодательству не подлежат в настоящее время регистрации. В новом Реестре владельцев РЭС учитываются только владельцы действующих РЭС.</w:t>
      </w:r>
    </w:p>
    <w:p w:rsidR="007E279A" w:rsidRPr="007E279A" w:rsidRDefault="007E279A" w:rsidP="007E279A">
      <w:pPr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hAnsi="Times New Roman"/>
          <w:sz w:val="28"/>
        </w:rPr>
        <w:br w:type="page"/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lastRenderedPageBreak/>
        <w:t>Сведения об объектах надзора, подлежащих контролю в рамках осуществления полномочий, возложенных на Управление, приведены в таблицах 1 и 2.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E279A" w:rsidRPr="007E279A" w:rsidRDefault="007E279A" w:rsidP="007E279A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  <w:r w:rsidRPr="007E279A">
        <w:rPr>
          <w:rFonts w:ascii="Times New Roman" w:hAnsi="Times New Roman"/>
          <w:i/>
          <w:sz w:val="28"/>
        </w:rPr>
        <w:t>Таблица 1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6"/>
        <w:gridCol w:w="2514"/>
      </w:tblGrid>
      <w:tr w:rsidR="007E279A" w:rsidRPr="007E279A" w:rsidTr="00FE7BC9">
        <w:trPr>
          <w:trHeight w:val="287"/>
        </w:trPr>
        <w:tc>
          <w:tcPr>
            <w:tcW w:w="9450" w:type="dxa"/>
            <w:gridSpan w:val="2"/>
            <w:tcBorders>
              <w:bottom w:val="nil"/>
            </w:tcBorders>
            <w:shd w:val="clear" w:color="auto" w:fill="C6D9F1" w:themeFill="text2" w:themeFillTint="33"/>
            <w:noWrap/>
            <w:vAlign w:val="center"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Сведения о лицензиях, действующих на территории московского региона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tcBorders>
              <w:top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Вид деятельности</w:t>
            </w:r>
          </w:p>
        </w:tc>
        <w:tc>
          <w:tcPr>
            <w:tcW w:w="2514" w:type="dxa"/>
            <w:tcBorders>
              <w:top w:val="nil"/>
              <w:lef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Количество</w:t>
            </w:r>
          </w:p>
        </w:tc>
      </w:tr>
      <w:tr w:rsidR="007E279A" w:rsidRPr="007E279A" w:rsidTr="00FE7BC9">
        <w:trPr>
          <w:trHeight w:val="321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Телематические</w:t>
            </w:r>
            <w:proofErr w:type="spellEnd"/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3611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2903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</w:tcPr>
          <w:p w:rsidR="007E279A" w:rsidRPr="007E279A" w:rsidRDefault="007E279A" w:rsidP="007E2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телевизионного вещания и радиовещания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2174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по предоставлению каналов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1580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1086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962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почтовой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591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для целей кабельного 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499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для целей эфирного 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173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внутризоновой 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124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для целей проводного радиовещания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129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радиотелефонной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82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междугородной и международной 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55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радиосвязи в выделенной сети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50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телефонной связи в выделенной сети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телеграфной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радиосвязи в сети связи общего пользования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местной телефонной связи с использованием таксофонов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спутниковой радиосвязи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7E279A" w:rsidRPr="007E279A" w:rsidTr="00FE7BC9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7E279A" w:rsidRPr="007E279A" w:rsidRDefault="007E279A" w:rsidP="007E279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4 143</w:t>
            </w:r>
          </w:p>
        </w:tc>
      </w:tr>
    </w:tbl>
    <w:p w:rsidR="007E279A" w:rsidRPr="007E279A" w:rsidRDefault="007E279A" w:rsidP="007E279A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</w:p>
    <w:p w:rsidR="007E279A" w:rsidRPr="007E279A" w:rsidRDefault="007E279A" w:rsidP="007E279A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  <w:r w:rsidRPr="007E279A">
        <w:rPr>
          <w:rFonts w:ascii="Times New Roman" w:hAnsi="Times New Roman"/>
          <w:i/>
          <w:sz w:val="28"/>
        </w:rPr>
        <w:t>Таблица 2</w:t>
      </w:r>
    </w:p>
    <w:tbl>
      <w:tblPr>
        <w:tblStyle w:val="a3"/>
        <w:tblW w:w="949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3"/>
        <w:gridCol w:w="1448"/>
        <w:gridCol w:w="1150"/>
        <w:gridCol w:w="1582"/>
      </w:tblGrid>
      <w:tr w:rsidR="007E279A" w:rsidRPr="007E279A" w:rsidTr="00FE7BC9">
        <w:trPr>
          <w:trHeight w:val="18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79A" w:rsidRPr="007E279A" w:rsidRDefault="007E279A" w:rsidP="007E27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Сведения об объектах надзора в реестрах</w:t>
            </w:r>
          </w:p>
        </w:tc>
      </w:tr>
      <w:tr w:rsidR="007E279A" w:rsidRPr="007E279A" w:rsidTr="00FE7BC9">
        <w:trPr>
          <w:trHeight w:val="271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Динамика</w:t>
            </w:r>
          </w:p>
        </w:tc>
      </w:tr>
      <w:tr w:rsidR="007E279A" w:rsidRPr="007E279A" w:rsidTr="00FE7BC9">
        <w:trPr>
          <w:trHeight w:val="139"/>
        </w:trPr>
        <w:tc>
          <w:tcPr>
            <w:tcW w:w="53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Количество франкировальных машин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-</w:t>
            </w:r>
          </w:p>
        </w:tc>
      </w:tr>
      <w:tr w:rsidR="007E279A" w:rsidRPr="007E279A" w:rsidTr="00FE7BC9">
        <w:trPr>
          <w:trHeight w:val="184"/>
        </w:trPr>
        <w:tc>
          <w:tcPr>
            <w:tcW w:w="5313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Количество РЭС</w:t>
            </w:r>
          </w:p>
        </w:tc>
        <w:tc>
          <w:tcPr>
            <w:tcW w:w="1448" w:type="dxa"/>
            <w:shd w:val="clear" w:color="auto" w:fill="FFFFFF" w:themeFill="background1"/>
            <w:vAlign w:val="bottom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393</w:t>
            </w: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128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429 917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B050"/>
                <w:sz w:val="26"/>
                <w:szCs w:val="26"/>
                <w:u w:color="000000"/>
                <w:bdr w:val="nil"/>
                <w:lang w:eastAsia="ru-RU"/>
              </w:rPr>
              <w:t>↑</w:t>
            </w: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9,3%</w:t>
            </w:r>
          </w:p>
        </w:tc>
      </w:tr>
      <w:tr w:rsidR="007E279A" w:rsidRPr="007E279A" w:rsidTr="00FE7BC9">
        <w:trPr>
          <w:trHeight w:val="139"/>
        </w:trPr>
        <w:tc>
          <w:tcPr>
            <w:tcW w:w="5313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Количество высокочастотных устройств (далее – ВЧУ)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9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-</w:t>
            </w:r>
          </w:p>
        </w:tc>
      </w:tr>
      <w:tr w:rsidR="007E279A" w:rsidRPr="007E279A" w:rsidTr="00FE7BC9">
        <w:trPr>
          <w:trHeight w:val="139"/>
        </w:trPr>
        <w:tc>
          <w:tcPr>
            <w:tcW w:w="5313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Количество средств массовой информации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1622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1433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7E279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u w:color="000000"/>
                <w:bdr w:val="nil"/>
                <w:lang w:eastAsia="ru-RU"/>
              </w:rPr>
              <w:t>↓</w:t>
            </w:r>
            <w:r w:rsidRPr="007E27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11,6%</w:t>
            </w:r>
          </w:p>
        </w:tc>
      </w:tr>
    </w:tbl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hAnsi="Times New Roman"/>
          <w:i/>
          <w:sz w:val="28"/>
        </w:rPr>
      </w:pPr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3" w:name="_Toc108779467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lastRenderedPageBreak/>
        <w:t xml:space="preserve">1.2. </w:t>
      </w:r>
      <w:bookmarkEnd w:id="10"/>
      <w:bookmarkEnd w:id="11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Результаты контрольно-надзорной деятельности</w:t>
      </w:r>
      <w:bookmarkStart w:id="14" w:name="_Toc472886814"/>
      <w:bookmarkStart w:id="15" w:name="_Toc479666282"/>
      <w:bookmarkStart w:id="16" w:name="_Toc503986389"/>
      <w:bookmarkStart w:id="17" w:name="_Toc510816188"/>
      <w:bookmarkEnd w:id="12"/>
      <w:bookmarkEnd w:id="13"/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8" w:name="_Toc108779468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1.2.1. </w:t>
      </w:r>
      <w:bookmarkEnd w:id="14"/>
      <w:bookmarkEnd w:id="15"/>
      <w:bookmarkEnd w:id="16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Результаты проведения плановых проверок юридических лиц</w:t>
      </w:r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br/>
        <w:t>(их филиалов, представительств, обособленных подразделений)</w:t>
      </w:r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br/>
        <w:t xml:space="preserve">и индивидуальных предпринимателей (ИП) и плановых мероприятий </w:t>
      </w:r>
      <w:bookmarkEnd w:id="17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18"/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План контрольных (надзорных) мероприятий Управления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на 2022 год утвержден приказом руководителя Управления от 01.11.2021 № 213 (далее – План деятельности).</w:t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В соответствии Планом деятельности в 1 полугодии 2022 года Управлением запланировано 168 мероприятий государственного контроля (надзора).</w:t>
      </w: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hAnsi="Times New Roman"/>
          <w:i/>
          <w:sz w:val="28"/>
        </w:rPr>
      </w:pPr>
      <w:r w:rsidRPr="007E279A">
        <w:rPr>
          <w:rFonts w:ascii="Times New Roman" w:hAnsi="Times New Roman"/>
          <w:i/>
          <w:sz w:val="28"/>
        </w:rPr>
        <w:t>Таблица 3</w:t>
      </w:r>
    </w:p>
    <w:tbl>
      <w:tblPr>
        <w:tblStyle w:val="a3"/>
        <w:tblW w:w="920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114"/>
      </w:tblGrid>
      <w:tr w:rsidR="007E279A" w:rsidRPr="007E279A" w:rsidTr="00FE7BC9">
        <w:trPr>
          <w:trHeight w:val="286"/>
        </w:trPr>
        <w:tc>
          <w:tcPr>
            <w:tcW w:w="9202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Сведения о контрольных (надзорных) мероприятиях</w:t>
            </w:r>
          </w:p>
        </w:tc>
      </w:tr>
      <w:tr w:rsidR="007E279A" w:rsidRPr="007E279A" w:rsidTr="00FE7BC9">
        <w:trPr>
          <w:trHeight w:val="179"/>
        </w:trPr>
        <w:tc>
          <w:tcPr>
            <w:tcW w:w="4678" w:type="dxa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2114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7E279A" w:rsidRPr="007E279A" w:rsidTr="00FE7BC9">
        <w:trPr>
          <w:trHeight w:val="15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запланировано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292</w:t>
            </w:r>
          </w:p>
        </w:tc>
      </w:tr>
      <w:tr w:rsidR="007E279A" w:rsidRPr="007E279A" w:rsidTr="00FE7BC9">
        <w:trPr>
          <w:trHeight w:val="161"/>
        </w:trPr>
        <w:tc>
          <w:tcPr>
            <w:tcW w:w="9202" w:type="dxa"/>
            <w:gridSpan w:val="3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Плановые проверки</w:t>
            </w:r>
          </w:p>
        </w:tc>
      </w:tr>
      <w:tr w:rsidR="007E279A" w:rsidRPr="007E279A" w:rsidTr="00FE7BC9">
        <w:trPr>
          <w:trHeight w:val="168"/>
        </w:trPr>
        <w:tc>
          <w:tcPr>
            <w:tcW w:w="4678" w:type="dxa"/>
            <w:shd w:val="clear" w:color="auto" w:fill="FFFFFF" w:themeFill="background1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7E279A" w:rsidRPr="007E279A" w:rsidTr="00FE7BC9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7E279A" w:rsidRPr="007E279A" w:rsidTr="00FE7BC9">
        <w:trPr>
          <w:trHeight w:val="16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7E279A" w:rsidRPr="007E279A" w:rsidTr="00FE7BC9">
        <w:trPr>
          <w:trHeight w:val="161"/>
        </w:trPr>
        <w:tc>
          <w:tcPr>
            <w:tcW w:w="9202" w:type="dxa"/>
            <w:gridSpan w:val="3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Плановые мероприятия без взаимодействия</w:t>
            </w:r>
          </w:p>
        </w:tc>
      </w:tr>
      <w:tr w:rsidR="007E279A" w:rsidRPr="007E279A" w:rsidTr="00FE7BC9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335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276</w:t>
            </w:r>
          </w:p>
        </w:tc>
      </w:tr>
      <w:tr w:rsidR="007E279A" w:rsidRPr="007E279A" w:rsidTr="00FE7BC9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275</w:t>
            </w:r>
          </w:p>
        </w:tc>
      </w:tr>
      <w:tr w:rsidR="007E279A" w:rsidRPr="007E279A" w:rsidTr="00FE7BC9">
        <w:trPr>
          <w:trHeight w:val="168"/>
        </w:trPr>
        <w:tc>
          <w:tcPr>
            <w:tcW w:w="4678" w:type="dxa"/>
            <w:shd w:val="clear" w:color="auto" w:fill="FFFFFF" w:themeFill="background1"/>
          </w:tcPr>
          <w:p w:rsidR="007E279A" w:rsidRPr="007E279A" w:rsidRDefault="007E279A" w:rsidP="007E27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7E279A" w:rsidRPr="007E279A" w:rsidRDefault="007E279A" w:rsidP="007E279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 состоянию на 30.06.2022 проведено 50% запланированных проверок юридических лиц (их филиалов, представительств, обособленных структурных подразделений) и индивидуальных предпринимателей и 99% запланированных мероприятий без взаимодействия с проверяемыми лицами.</w:t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u w:color="000000"/>
          <w:bdr w:val="nil"/>
          <w:lang w:eastAsia="ru-RU"/>
        </w:rPr>
      </w:pPr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9" w:name="_Toc510816189"/>
      <w:bookmarkStart w:id="20" w:name="_Toc108779469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1.2.1.1. Сведения о проведенных плановых проверках во взаимодействии</w:t>
      </w:r>
      <w:bookmarkEnd w:id="19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 xml:space="preserve"> с проверяемыми лицами</w:t>
      </w:r>
      <w:bookmarkEnd w:id="20"/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21" w:name="_Toc510816190"/>
      <w:bookmarkStart w:id="22" w:name="_Toc472886815"/>
      <w:bookmarkStart w:id="23" w:name="_Toc479666283"/>
      <w:bookmarkStart w:id="24" w:name="_Toc503986390"/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Проведение плановых проверок в 2022 году отменено Решением руководителя Управления от 11.03.2022 № 47 на основании пункта</w:t>
      </w: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br/>
        <w:t>5 постановления Правительства Российской Федерации от 10.03.2022</w:t>
      </w: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br/>
        <w:t>№ 336 «Об особенностях организации и осуществления государственного контроля (надзора), муниципального контроля».</w:t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  <w:t>В результате проведения плановых проверок в 1 полугодии 2022 года выявлено 21 нарушение, выдано 8 предписаний об устранении выявленных нарушений, составлено 2 протокола об административных правонарушениях.</w:t>
      </w: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79A">
        <w:rPr>
          <w:rFonts w:ascii="Times New Roman" w:hAnsi="Times New Roman"/>
          <w:i/>
          <w:sz w:val="28"/>
        </w:rPr>
        <w:t>Таблица 4</w:t>
      </w:r>
    </w:p>
    <w:tbl>
      <w:tblPr>
        <w:tblStyle w:val="a3"/>
        <w:tblW w:w="921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709"/>
        <w:gridCol w:w="851"/>
        <w:gridCol w:w="850"/>
        <w:gridCol w:w="851"/>
        <w:gridCol w:w="850"/>
        <w:gridCol w:w="851"/>
        <w:gridCol w:w="850"/>
      </w:tblGrid>
      <w:tr w:rsidR="007E279A" w:rsidRPr="007E279A" w:rsidTr="00FE7BC9">
        <w:trPr>
          <w:trHeight w:val="211"/>
        </w:trPr>
        <w:tc>
          <w:tcPr>
            <w:tcW w:w="9214" w:type="dxa"/>
            <w:gridSpan w:val="9"/>
            <w:tcBorders>
              <w:bottom w:val="nil"/>
            </w:tcBorders>
            <w:shd w:val="clear" w:color="auto" w:fill="C6D9F1" w:themeFill="text2" w:themeFillTint="33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Сведения о результатах проведения контрольных (надзорных) 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мероприятий</w:t>
            </w:r>
          </w:p>
        </w:tc>
      </w:tr>
      <w:tr w:rsidR="007E279A" w:rsidRPr="007E279A" w:rsidTr="00FE7BC9">
        <w:trPr>
          <w:trHeight w:val="240"/>
        </w:trPr>
        <w:tc>
          <w:tcPr>
            <w:tcW w:w="2410" w:type="dxa"/>
            <w:vMerge w:val="restart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7E279A" w:rsidRPr="007E279A" w:rsidRDefault="007E279A" w:rsidP="007E279A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ПОДФТ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Вещание</w:t>
            </w:r>
          </w:p>
        </w:tc>
      </w:tr>
      <w:tr w:rsidR="007E279A" w:rsidRPr="007E279A" w:rsidTr="00FE7BC9">
        <w:trPr>
          <w:trHeight w:val="53"/>
        </w:trPr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7E279A" w:rsidRPr="007E279A" w:rsidRDefault="007E279A" w:rsidP="007E279A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C6D9F1" w:themeFill="text2" w:themeFillTint="33"/>
            <w:vAlign w:val="bottom"/>
          </w:tcPr>
          <w:p w:rsidR="007E279A" w:rsidRPr="007E279A" w:rsidRDefault="007E279A" w:rsidP="007E279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7E27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7E279A" w:rsidRPr="007E279A" w:rsidTr="00FE7BC9">
        <w:trPr>
          <w:trHeight w:val="238"/>
        </w:trPr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7E279A" w:rsidRPr="007E279A" w:rsidTr="00FE7BC9">
        <w:trPr>
          <w:trHeight w:val="183"/>
        </w:trPr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Протоколы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7E279A" w:rsidRPr="007E279A" w:rsidTr="00FE7BC9">
        <w:trPr>
          <w:trHeight w:val="122"/>
        </w:trPr>
        <w:tc>
          <w:tcPr>
            <w:tcW w:w="241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Предписания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79A" w:rsidRPr="007E279A" w:rsidRDefault="007E279A" w:rsidP="007E279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E2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</w:tbl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7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7E279A">
        <w:rPr>
          <w:rFonts w:ascii="Times New Roman" w:hAnsi="Times New Roman"/>
          <w:i/>
          <w:sz w:val="28"/>
        </w:rPr>
        <w:t xml:space="preserve"> 2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7E279A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7975E14C" wp14:editId="3A510C48">
            <wp:extent cx="5816009" cy="228600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5" w:name="_Toc108779470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1.2.1.2. Сведения о проведенных плановых мероприятиях систематического наблюдения (далее – СН</w:t>
      </w:r>
      <w:bookmarkEnd w:id="21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)</w:t>
      </w:r>
      <w:bookmarkEnd w:id="25"/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Из 276 запланированных на 1 полугодие 2022 проведено 275 мероприятий без взаимодействия с проверяемыми лицами, что составляет 99%.</w:t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Одно</w:t>
      </w:r>
      <w:r w:rsidRPr="007E279A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t xml:space="preserve"> </w:t>
      </w: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плановое мероприятие СН СМИ отменено в связи с решением учредителя средства массовой информации о прекращении его деятельности.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7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7E279A">
        <w:rPr>
          <w:rFonts w:ascii="Times New Roman" w:hAnsi="Times New Roman"/>
          <w:i/>
          <w:sz w:val="28"/>
        </w:rPr>
        <w:t xml:space="preserve"> 3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7E279A">
        <w:rPr>
          <w:rFonts w:ascii="Times New Roman" w:eastAsia="Calibri" w:hAnsi="Times New Roman" w:cs="Times New Roman"/>
          <w:bCs/>
          <w:noProof/>
          <w:color w:val="000000" w:themeColor="text1"/>
          <w:sz w:val="26"/>
          <w:szCs w:val="26"/>
          <w:u w:color="000000"/>
          <w:bdr w:val="nil"/>
          <w:lang w:eastAsia="ru-RU"/>
        </w:rPr>
        <w:drawing>
          <wp:inline distT="0" distB="0" distL="0" distR="0" wp14:anchorId="525100BE" wp14:editId="08966A05">
            <wp:extent cx="5860112" cy="1566407"/>
            <wp:effectExtent l="0" t="0" r="762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За 1 полугодие 2022 года по сравнению с аналогичным периодом 2021 года количество выявленных нарушений по итогам проведения плановых мероприятий СН сократилось на 38%</w:t>
      </w:r>
      <w:r w:rsidRPr="007E279A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t>.</w:t>
      </w:r>
    </w:p>
    <w:p w:rsidR="007E279A" w:rsidRPr="007E279A" w:rsidRDefault="007E279A" w:rsidP="007E279A">
      <w:pPr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</w:pPr>
      <w:r w:rsidRPr="007E279A">
        <w:rPr>
          <w:rFonts w:ascii="Times New Roman" w:hAnsi="Times New Roman"/>
          <w:bCs/>
          <w:sz w:val="28"/>
        </w:rPr>
        <w:br w:type="page"/>
      </w: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7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Диаграмма</w:t>
      </w:r>
      <w:r w:rsidRPr="007E279A">
        <w:rPr>
          <w:rFonts w:ascii="Times New Roman" w:hAnsi="Times New Roman"/>
          <w:i/>
          <w:sz w:val="28"/>
        </w:rPr>
        <w:t xml:space="preserve"> 4</w:t>
      </w:r>
    </w:p>
    <w:p w:rsidR="007E279A" w:rsidRPr="007E279A" w:rsidRDefault="007E279A" w:rsidP="007E279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79A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D6DF200" wp14:editId="4DE9959C">
            <wp:extent cx="5860112" cy="1653872"/>
            <wp:effectExtent l="0" t="0" r="762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279A" w:rsidRPr="007E279A" w:rsidRDefault="007E279A" w:rsidP="007E279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6" w:name="_Toc510816191"/>
      <w:bookmarkStart w:id="27" w:name="_Toc108779471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1.2.2. Результаты проведения внеплановых проверок </w:t>
      </w:r>
      <w:bookmarkEnd w:id="22"/>
      <w:bookmarkEnd w:id="23"/>
      <w:bookmarkEnd w:id="24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 xml:space="preserve">юридических лиц (их филиалов, представительств, обособленных подразделений) и ИП, внеплановых мероприятий </w:t>
      </w:r>
      <w:bookmarkEnd w:id="26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27"/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8" w:name="_Toc510816192"/>
      <w:bookmarkStart w:id="29" w:name="_Toc108779472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1.2.2.1.Сведения о проведенных внеплановых проверках во взаимодействии</w:t>
      </w:r>
      <w:bookmarkEnd w:id="28"/>
      <w:bookmarkEnd w:id="29"/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30" w:name="_Toc510816193"/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В 2022 году проведено 278 внеплановых проверок. В результате организации и проведения внеплановых проверок выявлено 25 нарушений обязательных требований. 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7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7E279A">
        <w:rPr>
          <w:rFonts w:ascii="Times New Roman" w:hAnsi="Times New Roman"/>
          <w:i/>
          <w:sz w:val="28"/>
        </w:rPr>
        <w:t xml:space="preserve"> 5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7E279A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151D5093" wp14:editId="20A8D525">
            <wp:extent cx="6154310" cy="1685677"/>
            <wp:effectExtent l="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E27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7E279A">
        <w:rPr>
          <w:rFonts w:ascii="Times New Roman" w:hAnsi="Times New Roman"/>
          <w:i/>
          <w:sz w:val="28"/>
          <w:lang w:val="en-US"/>
        </w:rPr>
        <w:t xml:space="preserve"> 6</w:t>
      </w:r>
    </w:p>
    <w:p w:rsidR="007E279A" w:rsidRPr="007E279A" w:rsidRDefault="007E279A" w:rsidP="007E27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7E279A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0805B9B2" wp14:editId="5EB19F8E">
            <wp:extent cx="5812404" cy="2512612"/>
            <wp:effectExtent l="0" t="0" r="0" b="254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279A" w:rsidRPr="007E279A" w:rsidRDefault="007E279A" w:rsidP="007E279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31" w:name="_Toc108779473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lastRenderedPageBreak/>
        <w:t xml:space="preserve">1.2.2.2.Сведения о проведенных внеплановых мероприятиях </w:t>
      </w:r>
      <w:bookmarkEnd w:id="30"/>
      <w:r w:rsidRPr="007E279A">
        <w:rPr>
          <w:rFonts w:ascii="Times New Roman" w:eastAsia="Calibri" w:hAnsi="Times New Roman"/>
          <w:b/>
          <w:sz w:val="28"/>
          <w:szCs w:val="28"/>
          <w:u w:color="000000"/>
        </w:rPr>
        <w:t>без взаимодействия с проверяемыми лицами</w:t>
      </w:r>
      <w:bookmarkEnd w:id="31"/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За </w:t>
      </w: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1 полугодие 2022 </w:t>
      </w:r>
      <w:r w:rsidRPr="007E279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года Управлением проведено 125 внеплановых мероприятий по следующим основаниям: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поручения центрального аппарата Роскомнадзора – 57;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обнаружение нарушений законодательства – 31;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поручение Президента Российской Федерации, Правительства Российской Федерации или руководителя Роскомнадзора – 14;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обращения и заявления граждан о нарушении их прав, как субъектов персональных данных – 9;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проверка исполнения предписаний (294-ФЗ, 126-ФЗ)</w:t>
      </w: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ab/>
        <w:t>– 9;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на основании результатов проведения мероприятий по контролю без взаимодействия с Оператором – 2;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истечение срока, на который было приостановлено действие лицензии (распоряжение Роскомнадзора от 15.02.2012 № 04) – 1;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поступление информации (распоряжение Роскомнадзора) – 1;</w:t>
      </w:r>
    </w:p>
    <w:p w:rsidR="007E279A" w:rsidRPr="007E279A" w:rsidRDefault="007E279A" w:rsidP="007E2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7E279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поступление обращений – 1.</w:t>
      </w:r>
    </w:p>
    <w:p w:rsidR="007E279A" w:rsidRPr="007E279A" w:rsidRDefault="007E279A" w:rsidP="007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shd w:val="clear" w:color="auto" w:fill="00FFFF"/>
          <w:lang w:eastAsia="ru-RU"/>
        </w:rPr>
      </w:pPr>
      <w:r w:rsidRPr="007E279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По итогам проведения внеплановых мероприятий в 1 полугодии 2022 года Управлением выявлено </w:t>
      </w:r>
      <w:r w:rsidRPr="007E279A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164 </w:t>
      </w:r>
      <w:r w:rsidRPr="007E279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нарушения, составлено </w:t>
      </w:r>
      <w:r w:rsidRPr="007E279A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15 </w:t>
      </w:r>
      <w:r w:rsidRPr="007E279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протоколов об административных правонарушениях.</w:t>
      </w: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E279A" w:rsidRPr="007E279A" w:rsidRDefault="007E279A" w:rsidP="007E279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E27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7E279A">
        <w:rPr>
          <w:rFonts w:ascii="Times New Roman" w:hAnsi="Times New Roman"/>
          <w:i/>
          <w:sz w:val="28"/>
        </w:rPr>
        <w:t xml:space="preserve"> </w:t>
      </w:r>
      <w:r w:rsidRPr="007E279A">
        <w:rPr>
          <w:rFonts w:ascii="Times New Roman" w:hAnsi="Times New Roman"/>
          <w:i/>
          <w:sz w:val="28"/>
          <w:lang w:val="en-US"/>
        </w:rPr>
        <w:t>7</w:t>
      </w:r>
    </w:p>
    <w:p w:rsidR="007E279A" w:rsidRPr="007E279A" w:rsidRDefault="007E279A" w:rsidP="007E279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79A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F42E5C6" wp14:editId="2475B8F2">
            <wp:extent cx="5900468" cy="1656271"/>
            <wp:effectExtent l="0" t="0" r="5080" b="127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361D" w:rsidRPr="007E279A" w:rsidRDefault="0063361D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bookmarkStart w:id="32" w:name="_GoBack"/>
      <w:bookmarkEnd w:id="2"/>
      <w:bookmarkEnd w:id="3"/>
      <w:bookmarkEnd w:id="4"/>
      <w:bookmarkEnd w:id="32"/>
    </w:p>
    <w:sectPr w:rsidR="0063361D" w:rsidRPr="007E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19C"/>
    <w:multiLevelType w:val="hybridMultilevel"/>
    <w:tmpl w:val="1D22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A"/>
    <w:rsid w:val="0063361D"/>
    <w:rsid w:val="007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Сведения об объектах надзора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092233663099807"/>
          <c:y val="0.33613590070283039"/>
          <c:w val="0.54785777111906986"/>
          <c:h val="0.471509273871479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об объктах надзора</c:v>
                </c:pt>
              </c:strCache>
            </c:strRef>
          </c:tx>
          <c:dLbls>
            <c:dLbl>
              <c:idx val="0"/>
              <c:layout>
                <c:manualLayout>
                  <c:x val="-0.16599908344790471"/>
                  <c:y val="-0.10422031416927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765820939049322E-2"/>
                  <c:y val="0.103792980651288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959255093113362E-2"/>
                  <c:y val="-5.4224139068043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863933674957405E-2"/>
                  <c:y val="-5.788258879700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981169020539085E-2"/>
                  <c:y val="-6.526860021894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1473565804274549E-3"/>
                  <c:y val="-4.433057676835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519226763321524E-2"/>
                  <c:y val="-1.7529906751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↑ 9% Операторы ПД</c:v>
                </c:pt>
                <c:pt idx="1">
                  <c:v>↓ 38% Владельцы РЭС</c:v>
                </c:pt>
                <c:pt idx="2">
                  <c:v>↓ 2% Операторы связи</c:v>
                </c:pt>
                <c:pt idx="3">
                  <c:v>↓ 12% СМИ</c:v>
                </c:pt>
                <c:pt idx="4">
                  <c:v>↓ 6% Вещатели</c:v>
                </c:pt>
                <c:pt idx="5">
                  <c:v>↓ 2% Владельцы франк.машин</c:v>
                </c:pt>
                <c:pt idx="6">
                  <c:v>↓ 14% Владельцы ВЧУ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25425</c:v>
                </c:pt>
                <c:pt idx="1">
                  <c:v>1013</c:v>
                </c:pt>
                <c:pt idx="2">
                  <c:v>4958</c:v>
                </c:pt>
                <c:pt idx="3">
                  <c:v>1437</c:v>
                </c:pt>
                <c:pt idx="4">
                  <c:v>598</c:v>
                </c:pt>
                <c:pt idx="5">
                  <c:v>51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2349417861229011E-4"/>
          <c:y val="0.10737764044850671"/>
          <c:w val="0.51389763779527564"/>
          <c:h val="0.89250777327816644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Выданные предписания в 2022 году</a:t>
            </a:r>
          </a:p>
        </c:rich>
      </c:tx>
      <c:layout>
        <c:manualLayout>
          <c:xMode val="edge"/>
          <c:yMode val="edge"/>
          <c:x val="3.8817482373526842E-2"/>
          <c:y val="8.10019171896358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305470624583726E-2"/>
          <c:y val="0.22005212796343887"/>
          <c:w val="0.30372567429842068"/>
          <c:h val="0.675656241073987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АО «Каршеринг»</c:v>
                </c:pt>
                <c:pt idx="1">
                  <c:v>ООО «Каршеринг Руссия»</c:v>
                </c:pt>
                <c:pt idx="2">
                  <c:v>ООО «СКАРТЕЛ»</c:v>
                </c:pt>
                <c:pt idx="3">
                  <c:v>ООО МФК  «ВЭББАНКИР»</c:v>
                </c:pt>
                <c:pt idx="4">
                  <c:v>ООО МФК «Мани Мен»</c:v>
                </c:pt>
                <c:pt idx="5">
                  <c:v>ПАО «ВымпелКом»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888102540538885"/>
          <c:y val="0.21267488319158664"/>
          <c:w val="0.438134271167545"/>
          <c:h val="0.70642561600017806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СН ОС</c:v>
                </c:pt>
                <c:pt idx="2">
                  <c:v>ПД</c:v>
                </c:pt>
                <c:pt idx="3">
                  <c:v>СН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38</c:v>
                </c:pt>
                <c:pt idx="2">
                  <c:v>28</c:v>
                </c:pt>
                <c:pt idx="3">
                  <c:v>4</c:v>
                </c:pt>
                <c:pt idx="4">
                  <c:v>240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СН ОС</c:v>
                </c:pt>
                <c:pt idx="2">
                  <c:v>ПД</c:v>
                </c:pt>
                <c:pt idx="3">
                  <c:v>СН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238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5214720"/>
        <c:axId val="175936576"/>
        <c:axId val="0"/>
      </c:bar3DChart>
      <c:catAx>
        <c:axId val="205214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5936576"/>
        <c:crosses val="autoZero"/>
        <c:auto val="1"/>
        <c:lblAlgn val="ctr"/>
        <c:lblOffset val="100"/>
        <c:noMultiLvlLbl val="1"/>
      </c:catAx>
      <c:valAx>
        <c:axId val="175936576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crossAx val="205214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СН ОС</c:v>
                </c:pt>
                <c:pt idx="2">
                  <c:v>ПД</c:v>
                </c:pt>
                <c:pt idx="3">
                  <c:v>СН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34</c:v>
                </c:pt>
                <c:pt idx="2">
                  <c:v>35</c:v>
                </c:pt>
                <c:pt idx="3">
                  <c:v>8</c:v>
                </c:pt>
                <c:pt idx="4">
                  <c:v>366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СН ОС</c:v>
                </c:pt>
                <c:pt idx="2">
                  <c:v>ПД</c:v>
                </c:pt>
                <c:pt idx="3">
                  <c:v>СН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</c:v>
                </c:pt>
                <c:pt idx="1">
                  <c:v>6</c:v>
                </c:pt>
                <c:pt idx="2">
                  <c:v>0</c:v>
                </c:pt>
                <c:pt idx="3">
                  <c:v>8</c:v>
                </c:pt>
                <c:pt idx="4">
                  <c:v>233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15187968"/>
        <c:axId val="175938304"/>
        <c:axId val="0"/>
      </c:bar3DChart>
      <c:catAx>
        <c:axId val="215187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175938304"/>
        <c:crosses val="autoZero"/>
        <c:auto val="1"/>
        <c:lblAlgn val="ctr"/>
        <c:lblOffset val="100"/>
        <c:noMultiLvlLbl val="1"/>
      </c:catAx>
      <c:valAx>
        <c:axId val="175938304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2151879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7.3578302712160856E-2"/>
          <c:y val="4.3650793650793732E-2"/>
          <c:w val="0.80064377369495665"/>
          <c:h val="0.73199725034371776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3226353925741478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84235950494238E-2"/>
                  <c:y val="-1.3580251534060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22823966996231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12</c:v>
                </c:pt>
                <c:pt idx="2">
                  <c:v>25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207040"/>
        <c:axId val="215753280"/>
        <c:axId val="0"/>
      </c:bar3DChart>
      <c:catAx>
        <c:axId val="205207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753280"/>
        <c:crosses val="autoZero"/>
        <c:auto val="1"/>
        <c:lblAlgn val="ctr"/>
        <c:lblOffset val="100"/>
        <c:noMultiLvlLbl val="1"/>
      </c:catAx>
      <c:valAx>
        <c:axId val="21575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5207040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Выданные предписания за 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2022</a:t>
            </a:r>
            <a:endParaRPr lang="ru-RU" sz="1400"/>
          </a:p>
        </c:rich>
      </c:tx>
      <c:layout>
        <c:manualLayout>
          <c:xMode val="edge"/>
          <c:yMode val="edge"/>
          <c:x val="3.2264605782666052E-2"/>
          <c:y val="8.10017497812773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59080032372715"/>
          <c:y val="0.25894094488188985"/>
          <c:w val="0.25028331283531369"/>
          <c:h val="0.636767279090114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</c:dLbl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ООО «ДЕЛИВЕРИ КЛАБ»</c:v>
                </c:pt>
                <c:pt idx="1">
                  <c:v>ООО «НЕТЛИНК»</c:v>
                </c:pt>
                <c:pt idx="2">
                  <c:v>ООО «РИСТЕК»</c:v>
                </c:pt>
                <c:pt idx="3">
                  <c:v>ООО «ФЛЕКС»</c:v>
                </c:pt>
                <c:pt idx="4">
                  <c:v>ООО «Х.А. ЭЛЕКТРОСПЕЦСТРОЙ»</c:v>
                </c:pt>
                <c:pt idx="5">
                  <c:v>ООО «ЯНДЕКС.ЕДА»</c:v>
                </c:pt>
                <c:pt idx="6">
                  <c:v>ООО «Лайн Групп»</c:v>
                </c:pt>
                <c:pt idx="7">
                  <c:v>ООО НПФ «ИМТ-Центр»</c:v>
                </c:pt>
                <c:pt idx="8">
                  <c:v>ООО «Лаборатория Гемотест»</c:v>
                </c:pt>
                <c:pt idx="9">
                  <c:v>ПАО «ВымпелКом»</c:v>
                </c:pt>
                <c:pt idx="10">
                  <c:v>ПАО «Ростелеком»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300"/>
            </a:pPr>
            <a:endParaRPr lang="ru-RU"/>
          </a:p>
        </c:txPr>
      </c:legendEntry>
      <c:layout>
        <c:manualLayout>
          <c:xMode val="edge"/>
          <c:yMode val="edge"/>
          <c:x val="0.48862639279719722"/>
          <c:y val="9.1340174995820173E-2"/>
          <c:w val="0.51027991171983222"/>
          <c:h val="0.88887128492153855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Pt>
            <c:idx val="0"/>
            <c:invertIfNegative val="1"/>
            <c:bubble3D val="0"/>
          </c:dPt>
          <c:dPt>
            <c:idx val="1"/>
            <c:invertIfNegative val="1"/>
            <c:bubble3D val="0"/>
          </c:dPt>
          <c:cat>
            <c:strRef>
              <c:f>Лист1!$A$2:$A$3</c:f>
              <c:strCache>
                <c:ptCount val="2"/>
                <c:pt idx="0">
                  <c:v>СН Вещ</c:v>
                </c:pt>
                <c:pt idx="1">
                  <c:v>СН 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28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cat>
            <c:strRef>
              <c:f>Лист1!$A$2:$A$3</c:f>
              <c:strCache>
                <c:ptCount val="2"/>
                <c:pt idx="0">
                  <c:v>СН Вещ</c:v>
                </c:pt>
                <c:pt idx="1">
                  <c:v>СН 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12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15187456"/>
        <c:axId val="215753856"/>
        <c:axId val="0"/>
      </c:bar3DChart>
      <c:catAx>
        <c:axId val="215187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753856"/>
        <c:crosses val="autoZero"/>
        <c:auto val="1"/>
        <c:lblAlgn val="ctr"/>
        <c:lblOffset val="100"/>
        <c:noMultiLvlLbl val="1"/>
      </c:catAx>
      <c:valAx>
        <c:axId val="215753856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2151874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0.2796</cdr:x>
      <cdr:y>0.23929</cdr:y>
    </cdr:from>
    <cdr:to>
      <cdr:x>0.40508</cdr:x>
      <cdr:y>0.33818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660940" y="865808"/>
          <a:ext cx="745435" cy="357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0.1394</cdr:x>
      <cdr:y>0.69851</cdr:y>
    </cdr:from>
    <cdr:to>
      <cdr:x>0.22692</cdr:x>
      <cdr:y>0.81926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10242" y="1332873"/>
          <a:ext cx="508680" cy="2304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3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Зеева Татьяна Ивановна</dc:creator>
  <cp:lastModifiedBy>Зеева Татьяна Ивановна</cp:lastModifiedBy>
  <cp:revision>1</cp:revision>
  <dcterms:created xsi:type="dcterms:W3CDTF">2023-05-03T07:52:00Z</dcterms:created>
  <dcterms:modified xsi:type="dcterms:W3CDTF">2023-05-03T07:52:00Z</dcterms:modified>
</cp:coreProperties>
</file>